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pPr>
      <w:r>
        <w:rPr>
          <w:b/>
          <w:bCs/>
          <w:sz w:val="32"/>
          <w:szCs w:val="32"/>
        </w:rPr>
        <w:t xml:space="preserve">Geschäftsverteilungsplan des Vorstands</w:t>
      </w:r>
    </w:p>
    <w:p>
      <w:pPr>
        <w:spacing w:after="140" w:before="0"/>
      </w:pPr>
      <w:r>
        <w:t xml:space="preserve">Verein: ______________________  ·  Beschlossen am: ____________</w:t>
      </w:r>
    </w:p>
    <w:p>
      <w:pPr>
        <w:spacing w:after="140" w:before="0"/>
      </w:pPr>
      <w:r>
        <w:t xml:space="preserve">Dieser Plan regelt, welches Vorstandsmitglied für welchen Bereich zuständig ist. Er wird vor Beginn des Geschäftsjahres beschlossen und von allen Vorstandsmitgliedern unterzeichnet. Er ersetzt keine gesetzliche Pflicht und hebt die Verantwortung der übrigen Vorstandsmitglieder nicht auf; er begrenzt sie.</w:t>
      </w:r>
    </w:p>
    <w:p>
      <w:pPr>
        <w:spacing w:after="100" w:before="200"/>
      </w:pPr>
      <w:r>
        <w:rPr>
          <w:b/>
          <w:bCs/>
        </w:rPr>
        <w:t xml:space="preserve">1. Ressorts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tcPr>
            <w:tcMar>
              <w:top w:type="dxa" w:w="60"/>
              <w:left w:type="dxa" w:w="100"/>
              <w:bottom w:type="dxa" w:w="60"/>
              <w:right w:type="dxa" w:w="100"/>
            </w:tcMar>
          </w:tcPr>
          <w:p>
            <w:r>
              <w:rPr>
                <w:b/>
                <w:bCs/>
                <w:sz w:val="20"/>
                <w:szCs w:val="20"/>
              </w:rPr>
              <w:t xml:space="preserve">Bereich</w:t>
            </w:r>
          </w:p>
        </w:tc>
        <w:tc>
          <w:tcPr>
            <w:tcMar>
              <w:top w:type="dxa" w:w="60"/>
              <w:left w:type="dxa" w:w="100"/>
              <w:bottom w:type="dxa" w:w="60"/>
              <w:right w:type="dxa" w:w="100"/>
            </w:tcMar>
          </w:tcPr>
          <w:p>
            <w:r>
              <w:rPr>
                <w:b/>
                <w:bCs/>
                <w:sz w:val="20"/>
                <w:szCs w:val="20"/>
              </w:rPr>
              <w:t xml:space="preserve">Zuständig</w:t>
            </w:r>
          </w:p>
        </w:tc>
        <w:tc>
          <w:tcPr>
            <w:tcMar>
              <w:top w:type="dxa" w:w="60"/>
              <w:left w:type="dxa" w:w="100"/>
              <w:bottom w:type="dxa" w:w="60"/>
              <w:right w:type="dxa" w:w="100"/>
            </w:tcMar>
          </w:tcPr>
          <w:p>
            <w:r>
              <w:rPr>
                <w:b/>
                <w:bCs/>
                <w:sz w:val="20"/>
                <w:szCs w:val="20"/>
              </w:rPr>
              <w:t xml:space="preserve">Vertretung</w:t>
            </w:r>
          </w:p>
        </w:tc>
      </w:tr>
      <w:tr>
        <w:tc>
          <w:tcPr>
            <w:tcMar>
              <w:top w:type="dxa" w:w="60"/>
              <w:left w:type="dxa" w:w="100"/>
              <w:bottom w:type="dxa" w:w="60"/>
              <w:right w:type="dxa" w:w="100"/>
            </w:tcMar>
          </w:tcPr>
          <w:p>
            <w:r>
              <w:rPr>
                <w:b w:val="false"/>
                <w:bCs w:val="false"/>
                <w:sz w:val="20"/>
                <w:szCs w:val="20"/>
              </w:rPr>
              <w:t xml:space="preserve">Steuerliche Anmeldungen (Lohnsteuer, Umsatzsteuer)</w:t>
            </w:r>
          </w:p>
        </w:tc>
        <w:tc>
          <w:tcPr>
            <w:tcMar>
              <w:top w:type="dxa" w:w="60"/>
              <w:left w:type="dxa" w:w="100"/>
              <w:bottom w:type="dxa" w:w="60"/>
              <w:right w:type="dxa" w:w="100"/>
            </w:tcMar>
          </w:tcPr>
          <w:p/>
        </w:tc>
        <w:tc>
          <w:tcPr>
            <w:tcMar>
              <w:top w:type="dxa" w:w="60"/>
              <w:left w:type="dxa" w:w="100"/>
              <w:bottom w:type="dxa" w:w="60"/>
              <w:right w:type="dxa" w:w="100"/>
            </w:tcMar>
          </w:tcPr>
          <w:p/>
        </w:tc>
      </w:tr>
      <w:tr>
        <w:tc>
          <w:tcPr>
            <w:tcMar>
              <w:top w:type="dxa" w:w="60"/>
              <w:left w:type="dxa" w:w="100"/>
              <w:bottom w:type="dxa" w:w="60"/>
              <w:right w:type="dxa" w:w="100"/>
            </w:tcMar>
          </w:tcPr>
          <w:p>
            <w:r>
              <w:rPr>
                <w:b w:val="false"/>
                <w:bCs w:val="false"/>
                <w:sz w:val="20"/>
                <w:szCs w:val="20"/>
              </w:rPr>
              <w:t xml:space="preserve">Sozialversicherung, Beitragsnachweise, Meldungen</w:t>
            </w:r>
          </w:p>
        </w:tc>
        <w:tc>
          <w:tcPr>
            <w:tcMar>
              <w:top w:type="dxa" w:w="60"/>
              <w:left w:type="dxa" w:w="100"/>
              <w:bottom w:type="dxa" w:w="60"/>
              <w:right w:type="dxa" w:w="100"/>
            </w:tcMar>
          </w:tcPr>
          <w:p/>
        </w:tc>
        <w:tc>
          <w:tcPr>
            <w:tcMar>
              <w:top w:type="dxa" w:w="60"/>
              <w:left w:type="dxa" w:w="100"/>
              <w:bottom w:type="dxa" w:w="60"/>
              <w:right w:type="dxa" w:w="100"/>
            </w:tcMar>
          </w:tcPr>
          <w:p/>
        </w:tc>
      </w:tr>
      <w:tr>
        <w:tc>
          <w:tcPr>
            <w:tcMar>
              <w:top w:type="dxa" w:w="60"/>
              <w:left w:type="dxa" w:w="100"/>
              <w:bottom w:type="dxa" w:w="60"/>
              <w:right w:type="dxa" w:w="100"/>
            </w:tcMar>
          </w:tcPr>
          <w:p>
            <w:r>
              <w:rPr>
                <w:b w:val="false"/>
                <w:bCs w:val="false"/>
                <w:sz w:val="20"/>
                <w:szCs w:val="20"/>
              </w:rPr>
              <w:t xml:space="preserve">Buchführung, Belege, Jahresabschluss</w:t>
            </w:r>
          </w:p>
        </w:tc>
        <w:tc>
          <w:tcPr>
            <w:tcMar>
              <w:top w:type="dxa" w:w="60"/>
              <w:left w:type="dxa" w:w="100"/>
              <w:bottom w:type="dxa" w:w="60"/>
              <w:right w:type="dxa" w:w="100"/>
            </w:tcMar>
          </w:tcPr>
          <w:p/>
        </w:tc>
        <w:tc>
          <w:tcPr>
            <w:tcMar>
              <w:top w:type="dxa" w:w="60"/>
              <w:left w:type="dxa" w:w="100"/>
              <w:bottom w:type="dxa" w:w="60"/>
              <w:right w:type="dxa" w:w="100"/>
            </w:tcMar>
          </w:tcPr>
          <w:p/>
        </w:tc>
      </w:tr>
      <w:tr>
        <w:tc>
          <w:tcPr>
            <w:tcMar>
              <w:top w:type="dxa" w:w="60"/>
              <w:left w:type="dxa" w:w="100"/>
              <w:bottom w:type="dxa" w:w="60"/>
              <w:right w:type="dxa" w:w="100"/>
            </w:tcMar>
          </w:tcPr>
          <w:p>
            <w:r>
              <w:rPr>
                <w:b w:val="false"/>
                <w:bCs w:val="false"/>
                <w:sz w:val="20"/>
                <w:szCs w:val="20"/>
              </w:rPr>
              <w:t xml:space="preserve">Zahlungsverkehr und Kontovollmachten</w:t>
            </w:r>
          </w:p>
        </w:tc>
        <w:tc>
          <w:tcPr>
            <w:tcMar>
              <w:top w:type="dxa" w:w="60"/>
              <w:left w:type="dxa" w:w="100"/>
              <w:bottom w:type="dxa" w:w="60"/>
              <w:right w:type="dxa" w:w="100"/>
            </w:tcMar>
          </w:tcPr>
          <w:p/>
        </w:tc>
        <w:tc>
          <w:tcPr>
            <w:tcMar>
              <w:top w:type="dxa" w:w="60"/>
              <w:left w:type="dxa" w:w="100"/>
              <w:bottom w:type="dxa" w:w="60"/>
              <w:right w:type="dxa" w:w="100"/>
            </w:tcMar>
          </w:tcPr>
          <w:p/>
        </w:tc>
      </w:tr>
      <w:tr>
        <w:tc>
          <w:tcPr>
            <w:tcMar>
              <w:top w:type="dxa" w:w="60"/>
              <w:left w:type="dxa" w:w="100"/>
              <w:bottom w:type="dxa" w:w="60"/>
              <w:right w:type="dxa" w:w="100"/>
            </w:tcMar>
          </w:tcPr>
          <w:p>
            <w:r>
              <w:rPr>
                <w:b w:val="false"/>
                <w:bCs w:val="false"/>
                <w:sz w:val="20"/>
                <w:szCs w:val="20"/>
              </w:rPr>
              <w:t xml:space="preserve">Mitgliederverwaltung und Beitragseinzug</w:t>
            </w:r>
          </w:p>
        </w:tc>
        <w:tc>
          <w:tcPr>
            <w:tcMar>
              <w:top w:type="dxa" w:w="60"/>
              <w:left w:type="dxa" w:w="100"/>
              <w:bottom w:type="dxa" w:w="60"/>
              <w:right w:type="dxa" w:w="100"/>
            </w:tcMar>
          </w:tcPr>
          <w:p/>
        </w:tc>
        <w:tc>
          <w:tcPr>
            <w:tcMar>
              <w:top w:type="dxa" w:w="60"/>
              <w:left w:type="dxa" w:w="100"/>
              <w:bottom w:type="dxa" w:w="60"/>
              <w:right w:type="dxa" w:w="100"/>
            </w:tcMar>
          </w:tcPr>
          <w:p/>
        </w:tc>
      </w:tr>
      <w:tr>
        <w:tc>
          <w:tcPr>
            <w:tcMar>
              <w:top w:type="dxa" w:w="60"/>
              <w:left w:type="dxa" w:w="100"/>
              <w:bottom w:type="dxa" w:w="60"/>
              <w:right w:type="dxa" w:w="100"/>
            </w:tcMar>
          </w:tcPr>
          <w:p>
            <w:r>
              <w:rPr>
                <w:b w:val="false"/>
                <w:bCs w:val="false"/>
                <w:sz w:val="20"/>
                <w:szCs w:val="20"/>
              </w:rPr>
              <w:t xml:space="preserve">Spenden und Zuwendungsbestätigungen</w:t>
            </w:r>
          </w:p>
        </w:tc>
        <w:tc>
          <w:tcPr>
            <w:tcMar>
              <w:top w:type="dxa" w:w="60"/>
              <w:left w:type="dxa" w:w="100"/>
              <w:bottom w:type="dxa" w:w="60"/>
              <w:right w:type="dxa" w:w="100"/>
            </w:tcMar>
          </w:tcPr>
          <w:p/>
        </w:tc>
        <w:tc>
          <w:tcPr>
            <w:tcMar>
              <w:top w:type="dxa" w:w="60"/>
              <w:left w:type="dxa" w:w="100"/>
              <w:bottom w:type="dxa" w:w="60"/>
              <w:right w:type="dxa" w:w="100"/>
            </w:tcMar>
          </w:tcPr>
          <w:p/>
        </w:tc>
      </w:tr>
      <w:tr>
        <w:tc>
          <w:tcPr>
            <w:tcMar>
              <w:top w:type="dxa" w:w="60"/>
              <w:left w:type="dxa" w:w="100"/>
              <w:bottom w:type="dxa" w:w="60"/>
              <w:right w:type="dxa" w:w="100"/>
            </w:tcMar>
          </w:tcPr>
          <w:p>
            <w:r>
              <w:rPr>
                <w:b w:val="false"/>
                <w:bCs w:val="false"/>
                <w:sz w:val="20"/>
                <w:szCs w:val="20"/>
              </w:rPr>
              <w:t xml:space="preserve">Verträge, Versicherungen, Fristen</w:t>
            </w:r>
          </w:p>
        </w:tc>
        <w:tc>
          <w:tcPr>
            <w:tcMar>
              <w:top w:type="dxa" w:w="60"/>
              <w:left w:type="dxa" w:w="100"/>
              <w:bottom w:type="dxa" w:w="60"/>
              <w:right w:type="dxa" w:w="100"/>
            </w:tcMar>
          </w:tcPr>
          <w:p/>
        </w:tc>
        <w:tc>
          <w:tcPr>
            <w:tcMar>
              <w:top w:type="dxa" w:w="60"/>
              <w:left w:type="dxa" w:w="100"/>
              <w:bottom w:type="dxa" w:w="60"/>
              <w:right w:type="dxa" w:w="100"/>
            </w:tcMar>
          </w:tcPr>
          <w:p/>
        </w:tc>
      </w:tr>
      <w:tr>
        <w:tc>
          <w:tcPr>
            <w:tcMar>
              <w:top w:type="dxa" w:w="60"/>
              <w:left w:type="dxa" w:w="100"/>
              <w:bottom w:type="dxa" w:w="60"/>
              <w:right w:type="dxa" w:w="100"/>
            </w:tcMar>
          </w:tcPr>
          <w:p>
            <w:r>
              <w:rPr>
                <w:b w:val="false"/>
                <w:bCs w:val="false"/>
                <w:sz w:val="20"/>
                <w:szCs w:val="20"/>
              </w:rPr>
              <w:t xml:space="preserve">Vereinsregister und Satzungsangelegenheiten</w:t>
            </w:r>
          </w:p>
        </w:tc>
        <w:tc>
          <w:tcPr>
            <w:tcMar>
              <w:top w:type="dxa" w:w="60"/>
              <w:left w:type="dxa" w:w="100"/>
              <w:bottom w:type="dxa" w:w="60"/>
              <w:right w:type="dxa" w:w="100"/>
            </w:tcMar>
          </w:tcPr>
          <w:p/>
        </w:tc>
        <w:tc>
          <w:tcPr>
            <w:tcMar>
              <w:top w:type="dxa" w:w="60"/>
              <w:left w:type="dxa" w:w="100"/>
              <w:bottom w:type="dxa" w:w="60"/>
              <w:right w:type="dxa" w:w="100"/>
            </w:tcMar>
          </w:tcPr>
          <w:p/>
        </w:tc>
      </w:tr>
      <w:tr>
        <w:tc>
          <w:tcPr>
            <w:tcMar>
              <w:top w:type="dxa" w:w="60"/>
              <w:left w:type="dxa" w:w="100"/>
              <w:bottom w:type="dxa" w:w="60"/>
              <w:right w:type="dxa" w:w="100"/>
            </w:tcMar>
          </w:tcPr>
          <w:p>
            <w:r>
              <w:rPr>
                <w:b w:val="false"/>
                <w:bCs w:val="false"/>
                <w:sz w:val="20"/>
                <w:szCs w:val="20"/>
              </w:rPr>
              <w:t xml:space="preserve">Datenschutz</w:t>
            </w:r>
          </w:p>
        </w:tc>
        <w:tc>
          <w:tcPr>
            <w:tcMar>
              <w:top w:type="dxa" w:w="60"/>
              <w:left w:type="dxa" w:w="100"/>
              <w:bottom w:type="dxa" w:w="60"/>
              <w:right w:type="dxa" w:w="100"/>
            </w:tcMar>
          </w:tcPr>
          <w:p/>
        </w:tc>
        <w:tc>
          <w:tcPr>
            <w:tcMar>
              <w:top w:type="dxa" w:w="60"/>
              <w:left w:type="dxa" w:w="100"/>
              <w:bottom w:type="dxa" w:w="60"/>
              <w:right w:type="dxa" w:w="100"/>
            </w:tcMar>
          </w:tcPr>
          <w:p/>
        </w:tc>
      </w:tr>
      <w:tr>
        <w:tc>
          <w:tcPr>
            <w:tcMar>
              <w:top w:type="dxa" w:w="60"/>
              <w:left w:type="dxa" w:w="100"/>
              <w:bottom w:type="dxa" w:w="60"/>
              <w:right w:type="dxa" w:w="100"/>
            </w:tcMar>
          </w:tcPr>
          <w:p>
            <w:r>
              <w:rPr>
                <w:b w:val="false"/>
                <w:bCs w:val="false"/>
                <w:sz w:val="20"/>
                <w:szCs w:val="20"/>
              </w:rPr>
              <w:t xml:space="preserve">Veranstaltungen und Verpflichtungen daraus</w:t>
            </w:r>
          </w:p>
        </w:tc>
        <w:tc>
          <w:tcPr>
            <w:tcMar>
              <w:top w:type="dxa" w:w="60"/>
              <w:left w:type="dxa" w:w="100"/>
              <w:bottom w:type="dxa" w:w="60"/>
              <w:right w:type="dxa" w:w="100"/>
            </w:tcMar>
          </w:tcPr>
          <w:p/>
        </w:tc>
        <w:tc>
          <w:tcPr>
            <w:tcMar>
              <w:top w:type="dxa" w:w="60"/>
              <w:left w:type="dxa" w:w="100"/>
              <w:bottom w:type="dxa" w:w="60"/>
              <w:right w:type="dxa" w:w="100"/>
            </w:tcMar>
          </w:tcPr>
          <w:p/>
        </w:tc>
      </w:tr>
    </w:tbl>
    <w:p>
      <w:pPr>
        <w:spacing w:after="120"/>
      </w:pPr>
    </w:p>
    <w:p>
      <w:pPr>
        <w:spacing w:after="100" w:before="200"/>
      </w:pPr>
      <w:r>
        <w:rPr>
          <w:b/>
          <w:bCs/>
        </w:rPr>
        <w:t xml:space="preserve">2. Gemeinsame Pflichten</w:t>
      </w:r>
    </w:p>
    <w:p>
      <w:pPr>
        <w:spacing w:after="140" w:before="0"/>
      </w:pPr>
      <w:r>
        <w:t xml:space="preserve">Unabhängig von der Zuständigkeit nach Ziffer 1 bleiben folgende Pflichten bei allen Vorstandsmitgliedern:</w:t>
      </w:r>
    </w:p>
    <w:p>
      <w:pPr>
        <w:pStyle w:val="ListParagraph"/>
        <w:numPr>
          <w:ilvl w:val="0"/>
          <w:numId w:val="1"/>
        </w:numPr>
        <w:spacing w:after="80"/>
      </w:pPr>
      <w:r>
        <w:t xml:space="preserve">Überwachung, ob die zugewiesenen Bereiche tatsächlich bearbeitet werden.</w:t>
      </w:r>
    </w:p>
    <w:p>
      <w:pPr>
        <w:pStyle w:val="ListParagraph"/>
        <w:numPr>
          <w:ilvl w:val="0"/>
          <w:numId w:val="1"/>
        </w:numPr>
        <w:spacing w:after="80"/>
      </w:pPr>
      <w:r>
        <w:t xml:space="preserve">Unverzügliche Befassung des gesamten Vorstands, sobald Anzeichen für Zahlungsschwierigkeiten, offene Steuer- oder Beitragsschulden oder Unregelmäßigkeiten bestehen.</w:t>
      </w:r>
    </w:p>
    <w:p>
      <w:pPr>
        <w:pStyle w:val="ListParagraph"/>
        <w:numPr>
          <w:ilvl w:val="0"/>
          <w:numId w:val="1"/>
        </w:numPr>
        <w:spacing w:after="80"/>
      </w:pPr>
      <w:r>
        <w:t xml:space="preserve">Antragspflicht bei Zahlungsunfähigkeit oder Überschuldung (§ 42 Abs. 2 BGB).</w:t>
      </w:r>
    </w:p>
    <w:p>
      <w:pPr>
        <w:spacing w:after="100" w:before="200"/>
      </w:pPr>
      <w:r>
        <w:rPr>
          <w:b/>
          <w:bCs/>
        </w:rPr>
        <w:t xml:space="preserve">3. Berichtspflicht</w:t>
      </w:r>
    </w:p>
    <w:p>
      <w:pPr>
        <w:spacing w:after="140" w:before="0"/>
      </w:pPr>
      <w:r>
        <w:t xml:space="preserve">Jedes Vorstandsmitglied berichtet in der Vorstandssitzung über den Stand seines Bereichs, mindestens jedoch _______ mal im Jahr. Offene Fristen werden im Protokoll festgehalten.</w:t>
      </w:r>
    </w:p>
    <w:p>
      <w:pPr>
        <w:spacing w:after="100" w:before="200"/>
      </w:pPr>
      <w:r>
        <w:rPr>
          <w:b/>
          <w:bCs/>
        </w:rPr>
        <w:t xml:space="preserve">4. Änderungen</w:t>
      </w:r>
    </w:p>
    <w:p>
      <w:pPr>
        <w:spacing w:after="140" w:before="0"/>
      </w:pPr>
      <w:r>
        <w:t xml:space="preserve">Änderungen dieses Plans wirken erst ab dem Tag des Beschlusses. Eine rückwirkende Zuweisung ist ausgeschlossen.</w:t>
      </w:r>
    </w:p>
    <w:p>
      <w:pPr>
        <w:spacing w:after="100" w:before="200"/>
      </w:pPr>
      <w:r>
        <w:rPr>
          <w:b/>
          <w:bCs/>
        </w:rPr>
        <w:t xml:space="preserve">5. Unterschriften</w:t>
      </w:r>
    </w:p>
    <w:p>
      <w:pPr>
        <w:spacing w:after="140" w:before="0"/>
      </w:pPr>
      <w:r>
        <w:t xml:space="preserve">____________________  ____________________  ____________________ (Name, Amt, Datum)</w:t>
      </w:r>
    </w:p>
    <w:p>
      <w:pPr>
        <w:spacing w:after="140" w:before="0"/>
      </w:pPr>
      <w:r>
        <w:rPr>
          <w:i/>
          <w:iCs/>
        </w:rPr>
        <w:t xml:space="preserve">Hinweise zum Ausfüllen (nicht Teil des Beschlusses):</w:t>
      </w:r>
    </w:p>
    <w:p>
      <w:pPr>
        <w:spacing w:after="140" w:before="0"/>
      </w:pPr>
      <w:r>
        <w:rPr>
          <w:i/>
          <w:iCs/>
        </w:rPr>
        <w:t xml:space="preserve">Der Bundesfinanzhof verlangt für eine haftungsbegrenzende Aufgabenverteilung eine im Voraus getroffene, klare und deshalb schriftliche Regelung (Urteil vom 26.04.1984, V R 128/79). Ein nachträglich erstellter Plan erfüllt diese Voraussetzung nicht. Lassen Sie keine Zeile unausgefüllt — ein Bereich ohne Zuständigen fällt auf alle zurück.</w:t>
      </w:r>
    </w:p>
    <w:sectPr>
      <w:footerReference w:type="default" r:id="rId7"/>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08080"/>
        <w:sz w:val="16"/>
        <w:szCs w:val="16"/>
      </w:rPr>
      <w:t xml:space="preserve">Muster-Vorlage von Bundaris · bundaris.de/ratgeber — Formulierungshilfe, keine Rechtsberatung.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Geschäftsverteilungsplan des Vorstands</dc:title>
  <dc:creator>Bundaris</dc:creator>
  <dc:description>Muster-Vorlage aus dem Bundaris-Ratgeber. Formulierungshilfe, keine Rechtsberatung.</dc:description>
  <cp:lastModifiedBy>Un-named</cp:lastModifiedBy>
  <cp:revision>1</cp:revision>
  <dcterms:created xsi:type="dcterms:W3CDTF">2026-09-05T20:50:00.961Z</dcterms:created>
  <dcterms:modified xsi:type="dcterms:W3CDTF">2026-09-05T20:50:00.961Z</dcterms:modified>
</cp:coreProperties>
</file>

<file path=docProps/custom.xml><?xml version="1.0" encoding="utf-8"?>
<Properties xmlns="http://schemas.openxmlformats.org/officeDocument/2006/custom-properties" xmlns:vt="http://schemas.openxmlformats.org/officeDocument/2006/docPropsVTypes"/>
</file>