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sz w:val="32"/>
          <w:szCs w:val="32"/>
        </w:rPr>
        <w:t xml:space="preserve">Ehrenamt oder Anstellung — Prüfbogen für Vereine</w:t>
      </w:r>
    </w:p>
    <w:p>
      <w:pPr>
        <w:spacing w:after="140" w:before="0"/>
      </w:pPr>
      <w:r>
        <w:t xml:space="preserve">Mit Anmelde-Fahrplan für den ersten Beschäftigten</w:t>
      </w:r>
    </w:p>
    <w:p>
      <w:pPr>
        <w:spacing w:after="140" w:before="0"/>
      </w:pPr>
      <w:r>
        <w:t xml:space="preserve">Dieser Bogen ersetzt keine Rechts- oder Steuerberatung. Er sammelt die Merkmale, auf die es nach § 7 Abs. 1 SGB IV ankommt, und macht die Einschätzung des Vereins nachvollziehbar. Bewahren Sie ihn zusammen mit der Vereinbarung auf.</w:t>
      </w:r>
    </w:p>
    <w:p>
      <w:pPr>
        <w:spacing w:after="100" w:before="200"/>
      </w:pPr>
      <w:r>
        <w:rPr>
          <w:b/>
          <w:bCs/>
        </w:rPr>
        <w:t xml:space="preserve">Teil 1 — Angaben zur Tätigkeit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Feld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Eintrag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Verein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Name der Person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Tätigkeit (konkret)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Beginn der Tätigkeit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Vereinbarte Zahlung (Betrag, Rhythmus)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Bezeichnung im Vertrag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Ausgefüllt von / am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40" w:before="0"/>
      </w:pPr>
      <w:r>
        <w:rPr>
          <w:b/>
          <w:bCs/>
        </w:rPr>
        <w:t xml:space="preserve">Teil 2 — Merkmale, die für eine Beschäftigung sprechen</w:t>
      </w:r>
      <w:r>
        <w:t xml:space="preserve"> Kreuzen Sie an, was zutrifft. Maßgeblich ist die gelebte Praxis, nicht der Wortlaut der Vereinbarung.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Merkmal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Trifft zu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Anmerkung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Die Zeiten sind vom Verein vorgegeben (Dienst-, Trainings-, Öffnungsplan).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Der Verein bestimmt Inhalt oder Ablauf der Tätigkeit im Einzelnen.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Die Person muss sich bei Verhinderung abmelden.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Eine Vertretung wird vom Verein organisiert, nicht von der Person selbst.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Die Person arbeitet mit Material, Räumen und Geräten des Vereins.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Die Person ist in Abläufe eingebunden (Dienstplan, Besprechungen, Berichtspflicht).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Die Zahlung ist der Höhe nach an Zeit oder Leistung gekoppelt.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Die Zahlung erreicht ungefähr das, was eine Fachkraft am Markt kosten würde.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Die Person trägt kein eigenes unternehmerisches Risiko.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Die Person arbeitet regelmäßig und dauerhaft für den Verein.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</w:rPr>
        <w:t xml:space="preserve">Teil 3 — Merkmale, die für ein Ehrenamt sprechen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Merkmal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Trifft zu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Anmerkung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Die Person teilt sich Umfang und Zeit selbst ein.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Es besteht keine Pflicht, einen bestimmten Einsatz zu übernehmen.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Die Zahlung ersetzt Aufwand und ist deutlich niedriger als eine marktübliche Vergütung.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Die Tätigkeit ist Ausdruck der Mitgliedschaft oder eines Vereinsamtes.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Ein Ausfall hat keine arbeitsrechtlichen Folgen.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40" w:before="0"/>
      </w:pPr>
      <w:r>
        <w:rPr>
          <w:b/>
          <w:bCs/>
        </w:rPr>
        <w:t xml:space="preserve">Teil 4 — Auswertung</w:t>
      </w:r>
      <w:r>
        <w:t xml:space="preserve"> Es gibt keine Punktzahl, ab der die Sache entschieden ist; die Deutsche Rentenversicherung würdigt alle Umstände des Einzelfalls. Als Orientierung: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Überwiegen die Merkmale aus Teil 2 deutlich, gehen Sie von einer Beschäftigung aus und arbeiten Sie Teil 5 ab.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Überwiegen die Merkmale aus Teil 3 deutlich und liegt die Zahlung erkennbar im Bereich eines Aufwandsersatzes, spricht das für ein Ehrenamt. Halten Sie das Ergebnis mit diesem Bogen fest.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Ist das Bild gemischt — insbesondere bei festen Zeiten und marktüblicher Vergütung — beantragen Sie eine Feststellung des Erwerbsstatus bei der Deutschen Rentenversicherung Bund. Wird der Antrag innerhalb eines Monats nach Aufnahme der Tätigkeit gestellt, wirkt eine festgestellte Versicherungspflicht unter den Voraussetzungen des § 7a Abs. 5 SGB IV nicht zurück.</w:t>
      </w:r>
    </w:p>
    <w:p>
      <w:pPr>
        <w:spacing w:after="140" w:before="0"/>
      </w:pPr>
      <w:r>
        <w:t xml:space="preserve">Ergebnis der Einschätzung: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Feld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Eintrag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Ergebnis (Ehrenamt / Beschäftigung / Statusfeststellung beantragt)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Begründung in einem Satz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Beschlossen am / durch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Nächste Überprüfung (bei Änderung der Tätigkeit, sonst jährlich)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40" w:before="0"/>
      </w:pPr>
      <w:r>
        <w:rPr>
          <w:b/>
          <w:bCs/>
        </w:rPr>
        <w:t xml:space="preserve">Teil 5 — Anmelde-Fahrplan für den ersten Beschäftigten</w:t>
      </w:r>
      <w:r>
        <w:t xml:space="preserve"> Die Reihenfolge ist nicht beliebig: Der Antrag auf die Betriebsnummer setzt die Unternehmernummer der Unfallversicherung voraus (§ 18i Abs. 2 SGB IV).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Schritt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Stelle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Frist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Ergebnis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Erledigt am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Unfallversicherungsträger (meist VBG)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binnen einer Woche nach Beginn, § 192 Abs. 1 SGB VII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Unternehmernummer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Bundesagentur für Arbeit, elektronisch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vor der ersten Meldung, § 18i Abs. 1 SGB IV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Betriebsnummer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Minijob-Zentrale als Einzugsstelle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mit der ersten Entgeltabrechnung, spätestens sechs Wochen nach Beginn, § 28a SGB IV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Anmeldung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Schriftliche Vereinbarung mit der Person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vor Aufnahme der Tätigkeit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Vertrag zu den Unterlagen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Erklärung zur Übungsleiter-/Ehrenamtspauschale einholen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vor der ersten Zahlung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Bestätigung, dass der Freibetrag nicht verbraucht ist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Abfrage weiterer Beschäftigungen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vor der ersten Zahlung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Grundlage für die Zusammenrechnung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Stundennachweis anlegen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ab dem ersten Arbeitstag, § 17 Abs. 1 MiLoG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laufende Aufzeichnung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</w:rPr>
        <w:t xml:space="preserve">Teil 6 — Wiederkehrende Pflichten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Anlass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Was zu tun ist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Fundstelle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Entgelt ändert sich über oder unter die Geringfügigkeitsgrenze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Meldung an die Einzugsstelle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§ 28a Abs. 1 Nr. 18 SGB IV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Beschäftigung endet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Abmeldung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§ 28a Abs. 1 Nr. 2 SGB IV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Jahreswechsel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Jahresmeldung für alle am 31.12. Beschäftigten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§ 28a Abs. 2 SGB IV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16. Februar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gesonderte Jahresmeldung zur Unfallversicherung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§ 28a Abs. 2a SGB IV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Mindestlohn steigt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Stundenlohn und Monatsbetrag gegenrechnen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MiLoV5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Art des Unternehmens ändert sich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Mitteilung an den Unfallversicherungsträger binnen vier Wochen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§ 192 Abs. 2 SGB VII</w:t>
            </w:r>
          </w:p>
        </w:tc>
      </w:tr>
    </w:tbl>
    <w:p>
      <w:pPr>
        <w:spacing w:after="120"/>
      </w:pPr>
    </w:p>
    <w:sectPr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Muster-Vorlage von Bundaris · bundaris.de/ratgeber — Formulierungshilfe, keine Rechtsberatung.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Ehrenamt oder Anstellung — Prüfbogen für Vereine</dc:title>
  <dc:creator>Bundaris</dc:creator>
  <dc:description>Muster-Vorlage aus dem Bundaris-Ratgeber. Formulierungshilfe, keine Rechtsberatung.</dc:description>
  <cp:lastModifiedBy>Un-named</cp:lastModifiedBy>
  <cp:revision>1</cp:revision>
  <dcterms:created xsi:type="dcterms:W3CDTF">2026-09-26T15:50:10.640Z</dcterms:created>
  <dcterms:modified xsi:type="dcterms:W3CDTF">2026-09-26T15:50:10.640Z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