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rPr>
          <w:b/>
          <w:bCs/>
          <w:sz w:val="32"/>
          <w:szCs w:val="32"/>
        </w:rPr>
        <w:t xml:space="preserve">Sphären-Zuordnung im Verein — Checkliste und Jahresaufstellung</w:t>
      </w:r>
    </w:p>
    <w:p>
      <w:pPr>
        <w:spacing w:after="100" w:before="200"/>
      </w:pPr>
      <w:r>
        <w:rPr>
          <w:b/>
          <w:bCs/>
        </w:rPr>
        <w:t xml:space="preserve">Vorbemerkung</w:t>
      </w:r>
    </w:p>
    <w:p>
      <w:pPr>
        <w:spacing w:after="140" w:before="0"/>
      </w:pPr>
      <w:r>
        <w:t xml:space="preserve">Jede Einnahme eines gemeinnützigen Vereins gehört in genau eine von vier steuerlichen Sphären. Diese Zuordnung entscheidet darüber, ob Körperschaft- und Gewerbesteuer anfallen, welcher Umsatzsteuersatz gilt und ob der Verein die Freigrenze des § 64 Abs. 3 AO einhält. Diese Arbeitshilfe führt Sie durch die Zuordnung Ihrer Jahreseinnahmen.</w:t>
      </w:r>
    </w:p>
    <w:p>
      <w:pPr>
        <w:spacing w:after="100" w:before="200"/>
      </w:pPr>
      <w:r>
        <w:rPr>
          <w:b/>
          <w:bCs/>
        </w:rPr>
        <w:t xml:space="preserve">Teil 1 — Zuordnung typischer Vereinseinnahmen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Einnahmeart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Sphäre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Mitgliedsbeiträge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Ideeller Bereich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Aufnahmegebühren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Ideeller Bereich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Spenden (Geld- und Sachspenden)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Ideeller Bereich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Öffentliche Zuschüsse ohne Gegenleistung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Ideeller Bereich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Bußgeldzuweisungen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Ideeller Bereich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Erbschaften und Schenkungen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Ideeller Bereich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Zinsen und Kapitalerträge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Vermögensverwaltung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Langfristige Vermietung an einen Dauermieter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Vermögensverwaltung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Verpachtung des Vereinsheims an einen Pächter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Vermögensverwaltung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Passive Duldung von Werbung ohne eigene Mitwirkung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Vermögensverwaltung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Eintrittsgelder Sportveranstaltung (bis 50.000 Euro)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Zweckbetrieb (§ 67a AO)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Kursgebühren, die den Satzungszweck verwirklichen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Zweckbetrieb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Teilnehmerbeiträge Jugendfreizeit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Zweckbetrieb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Startgelder eigener Wettkämpfe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Zweckbetrieb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Kulturelle Veranstaltung mit Satzungsbezug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Zweckbetrieb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Speisen und Getränke bei Sportveranstaltungen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Wirtschaftlicher Geschäftsbetrieb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Vereinsgaststätte im laufenden Betrieb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Wirtschaftlicher Geschäftsbetrieb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Bandenwerbung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Wirtschaftlicher Geschäftsbetrieb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Trikot- und Sponsoringverträge mit Gegenleistung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Wirtschaftlicher Geschäftsbetrieb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Anzeigen in der Vereinszeitung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Wirtschaftlicher Geschäftsbetrieb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Sommerfest, Weihnachtsmarkt, Festbetrieb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Wirtschaftlicher Geschäftsbetrieb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Verkauf von Vereinsartikeln und Merchandising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Wirtschaftlicher Geschäftsbetrieb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Regelmäßiger Flohmarkt oder Basar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Wirtschaftlicher Geschäftsbetrieb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Kurzzeitige, stundenweise Hallenvermietung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Wirtschaftlicher Geschäftsbetrieb</w:t>
            </w:r>
          </w:p>
        </w:tc>
      </w:tr>
    </w:tbl>
    <w:p>
      <w:pPr>
        <w:spacing w:after="120"/>
      </w:pPr>
    </w:p>
    <w:p>
      <w:pPr>
        <w:spacing w:after="100" w:before="200"/>
      </w:pPr>
      <w:r>
        <w:rPr>
          <w:b/>
          <w:bCs/>
        </w:rPr>
        <w:t xml:space="preserve">Teil 2 — Jahresaufstellung</w:t>
      </w:r>
    </w:p>
    <w:p>
      <w:pPr>
        <w:spacing w:after="140" w:before="0"/>
      </w:pPr>
      <w:r>
        <w:t xml:space="preserve">Tragen Sie Ihre Einnahmen des Geschäftsjahres ein und ordnen Sie jede Position einer Sphäre zu.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Einnahmeart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Betrag brutto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Sphäre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____________________________</w:t>
            </w:r>
          </w:p>
        </w:tc>
      </w:tr>
    </w:tbl>
    <w:p>
      <w:pPr>
        <w:spacing w:after="120"/>
      </w:pPr>
    </w:p>
    <w:p>
      <w:pPr>
        <w:spacing w:after="100" w:before="200"/>
      </w:pPr>
      <w:r>
        <w:rPr>
          <w:b/>
          <w:bCs/>
        </w:rPr>
        <w:t xml:space="preserve">Teil 3 — Auswertung</w:t>
      </w:r>
    </w:p>
    <w:p>
      <w:pPr>
        <w:spacing w:after="80"/>
        <w:ind w:left="220"/>
      </w:pPr>
      <w:r>
        <w:t xml:space="preserve">[   ]  </w:t>
      </w:r>
      <w:r>
        <w:t xml:space="preserve">Summe wirtschaftlicher Geschäftsbetrieb: ______________ Euro</w:t>
      </w:r>
    </w:p>
    <w:p>
      <w:pPr>
        <w:spacing w:after="80"/>
        <w:ind w:left="220"/>
      </w:pPr>
      <w:r>
        <w:t xml:space="preserve">[   ]  </w:t>
      </w:r>
      <w:r>
        <w:t xml:space="preserve">Freigrenze § 64 Abs. 3 AO (50.000 Euro) überschritten?   Ja / Nein</w:t>
      </w:r>
    </w:p>
    <w:p>
      <w:pPr>
        <w:spacing w:after="80"/>
        <w:ind w:left="220"/>
      </w:pPr>
      <w:r>
        <w:t xml:space="preserve">[   ]  </w:t>
      </w:r>
      <w:r>
        <w:t xml:space="preserve">Nur Sportvereine — Summe sportliche Veranstaltungen: ______________ Euro</w:t>
      </w:r>
    </w:p>
    <w:p>
      <w:pPr>
        <w:spacing w:after="80"/>
        <w:ind w:left="220"/>
      </w:pPr>
      <w:r>
        <w:t xml:space="preserve">[   ]  </w:t>
      </w:r>
      <w:r>
        <w:t xml:space="preserve">Zweckbetriebsgrenze § 67a Abs. 1 AO (50.000 Euro) überschritten?   Ja / Nein</w:t>
      </w:r>
    </w:p>
    <w:p>
      <w:pPr>
        <w:spacing w:after="80"/>
        <w:ind w:left="220"/>
      </w:pPr>
      <w:r>
        <w:t xml:space="preserve">[   ]  </w:t>
      </w:r>
      <w:r>
        <w:t xml:space="preserve">Gesamtumsatz des Vorjahres für § 19 UStG: ______________ Euro (Grenze 25.000 Euro)</w:t>
      </w:r>
    </w:p>
    <w:p>
      <w:pPr>
        <w:spacing w:after="100" w:before="200"/>
      </w:pPr>
      <w:r>
        <w:rPr>
          <w:b/>
          <w:bCs/>
        </w:rPr>
        <w:t xml:space="preserve">Teil 4 — Drei Prüffragen zum Schluss</w:t>
      </w:r>
    </w:p>
    <w:p>
      <w:pPr>
        <w:spacing w:after="80"/>
        <w:ind w:left="220"/>
      </w:pPr>
      <w:r>
        <w:t xml:space="preserve">[   ]  </w:t>
      </w:r>
      <w:r>
        <w:t xml:space="preserve">Haben Sie Speisen- und Getränkeverkäufe bei Sportveranstaltungen dem wirtschaftlichen Geschäftsbetrieb zugeordnet und nicht dem Zweckbetrieb? Nach § 67a Abs. 1 Satz 2 AO gehören sie nicht zur sportlichen Veranstaltung.</w:t>
      </w:r>
    </w:p>
    <w:p>
      <w:pPr>
        <w:spacing w:after="80"/>
        <w:ind w:left="220"/>
      </w:pPr>
      <w:r>
        <w:t xml:space="preserve">[   ]  </w:t>
      </w:r>
      <w:r>
        <w:t xml:space="preserve">Ist bei jedem Sponsoringvertrag geklärt, ob der Verein aktiv an der Werbung mitwirkt oder sie nur duldet? Nur die aktive Mitwirkung führt in den wirtschaftlichen Geschäftsbetrieb.</w:t>
      </w:r>
    </w:p>
    <w:p>
      <w:pPr>
        <w:spacing w:after="80"/>
        <w:ind w:left="220"/>
      </w:pPr>
      <w:r>
        <w:t xml:space="preserve">[   ]  </w:t>
      </w:r>
      <w:r>
        <w:t xml:space="preserve">Liegt für jede Vermietung fest, ob sie langfristig an einen Nutzer erfolgt oder kurzzeitig an wechselnde? Davon hängt die Abgrenzung zur Vermögensverwaltung ab.</w:t>
      </w:r>
    </w:p>
    <w:p>
      <w:pPr>
        <w:spacing w:after="100" w:before="200"/>
      </w:pPr>
      <w:r>
        <w:rPr>
          <w:b/>
          <w:bCs/>
          <w:i/>
          <w:iCs/>
          <w:color w:val="595959"/>
          <w:sz w:val="18"/>
          <w:szCs w:val="18"/>
        </w:rPr>
        <w:t xml:space="preserve">Hinweis zur Verwendung</w:t>
      </w:r>
    </w:p>
    <w:p>
      <w:pPr>
        <w:spacing w:after="140" w:before="0"/>
      </w:pPr>
      <w:r>
        <w:t xml:space="preserve">Diese Arbeitshilfe ersetzt keine steuerliche Beratung. Die Zuordnung hängt vom konkreten Sachverhalt ab; bei Grenzfällen stimmen Sie sie mit Ihrer Steuerberatung ab oder holen eine verbindliche Auskunft beim Finanzamt ein. Rechtsstand: August 2026.</w:t>
      </w:r>
    </w:p>
    <w:sectPr>
      <w:footerReference w:type="default" r:id="rId7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6"/>
        <w:szCs w:val="16"/>
      </w:rPr>
      <w:t xml:space="preserve">Muster-Vorlage von Bundaris · bundaris.de/ratgeber — Formulierungshilfe, keine Rechtsberatung.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Sphären-Zuordnung im Verein — Checkliste und Jahresaufstellung</dc:title>
  <dc:creator>Bundaris</dc:creator>
  <dc:description>Muster-Vorlage aus dem Bundaris-Ratgeber. Formulierungshilfe, keine Rechtsberatung.</dc:description>
  <cp:lastModifiedBy>Un-named</cp:lastModifiedBy>
  <cp:revision>1</cp:revision>
  <dcterms:created xsi:type="dcterms:W3CDTF">2026-08-16T07:58:02.661Z</dcterms:created>
  <dcterms:modified xsi:type="dcterms:W3CDTF">2026-08-16T07:58:02.661Z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