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pPr>
      <w:r>
        <w:rPr>
          <w:b/>
          <w:bCs/>
          <w:sz w:val="32"/>
          <w:szCs w:val="32"/>
        </w:rPr>
        <w:t xml:space="preserve">Lösch- und Aufbewahrungskonzept für Vereine</w:t>
      </w:r>
    </w:p>
    <w:p>
      <w:pPr>
        <w:spacing w:after="100" w:before="200"/>
      </w:pPr>
      <w:r>
        <w:rPr>
          <w:b/>
          <w:bCs/>
        </w:rPr>
        <w:t xml:space="preserve">Vorbemerkung</w:t>
      </w:r>
    </w:p>
    <w:p>
      <w:pPr>
        <w:spacing w:after="140" w:before="0"/>
      </w:pPr>
      <w:r>
        <w:t xml:space="preserve">Die Datenschutz-Grundverordnung schreibt keine Fristen für Mitgliederdaten vor. Sie verlangt, dass die Speicherdauer festgelegt ist und die Einhaltung nachgewiesen werden kann. Die Aufsichtsbehörden empfehlen dafür eine schriftliche Löschkonzeption, geben aber selbst keine Fristen vor. Dieses Dokument ist die Vorlage dafür: Sie übernehmen die Tabelle, streichen, was bei Ihnen nicht vorkommt, und passen an, was anders geregelt ist.</w:t>
      </w:r>
    </w:p>
    <w:p>
      <w:pPr>
        <w:spacing w:after="140" w:before="0"/>
      </w:pPr>
      <w:r>
        <w:t xml:space="preserve">Die eingetragenen Fristen sind begründete Ausgangswerte, keine Vorgabe. Wo eine Frist gesetzlich bestimmt ist, steht die Norm dabei. Wo keine besteht, steht ein Praxiswert, den Ihr Verein anpassen darf. Eine Rechtsberatung ersetzt dieses Dokument nicht.</w:t>
      </w:r>
    </w:p>
    <w:p>
      <w:pPr>
        <w:spacing w:after="100" w:before="200"/>
      </w:pPr>
      <w:r>
        <w:rPr>
          <w:b/>
          <w:bCs/>
        </w:rPr>
        <w:t xml:space="preserve">Teil 1 — Angaben zum Verein</w:t>
      </w:r>
    </w:p>
    <w:p>
      <w:pPr>
        <w:spacing w:after="140" w:before="0"/>
      </w:pPr>
      <w:r>
        <w:t xml:space="preserve">Verein: ______________________________________________</w:t>
      </w:r>
    </w:p>
    <w:p>
      <w:pPr>
        <w:spacing w:after="140" w:before="0"/>
      </w:pPr>
      <w:r>
        <w:t xml:space="preserve">Verantwortlich für die Umsetzung (Funktion): ______________________________</w:t>
      </w:r>
    </w:p>
    <w:p>
      <w:pPr>
        <w:spacing w:after="140" w:before="0"/>
      </w:pPr>
      <w:r>
        <w:t xml:space="preserve">Beschlossen am: ______________  durch: ______________________________</w:t>
      </w:r>
    </w:p>
    <w:p>
      <w:pPr>
        <w:spacing w:after="140" w:before="0"/>
      </w:pPr>
      <w:r>
        <w:t xml:space="preserve">Nächste Überprüfung: ______________</w:t>
      </w:r>
    </w:p>
    <w:p>
      <w:pPr>
        <w:spacing w:after="140" w:before="0"/>
      </w:pPr>
      <w:r>
        <w:t xml:space="preserve">Fester Termin, an dem das Konzept jährlich angewendet wird: ______________</w:t>
      </w:r>
    </w:p>
    <w:p>
      <w:pPr>
        <w:spacing w:after="100" w:before="200"/>
      </w:pPr>
      <w:r>
        <w:rPr>
          <w:b/>
          <w:bCs/>
        </w:rPr>
        <w:t xml:space="preserve">Teil 2 — Datenarten, Fristen und Rechtsgrundlagen</w:t>
      </w:r>
    </w:p>
    <w:p>
      <w:pPr>
        <w:spacing w:after="140" w:before="0"/>
      </w:pPr>
      <w:r>
        <w:t xml:space="preserve">Die Frist läuft ab dem auslösenden Ereignis. Wo mehrere Fristen auf dieselbe Unterlage wirken, gilt die längste — aber nur für die Daten, die sie tatsächlich erfasst.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tcMar>
              <w:top w:type="dxa" w:w="60"/>
              <w:left w:type="dxa" w:w="100"/>
              <w:bottom w:type="dxa" w:w="60"/>
              <w:right w:type="dxa" w:w="100"/>
            </w:tcMar>
          </w:tcPr>
          <w:p>
            <w:r>
              <w:rPr>
                <w:b/>
                <w:bCs/>
                <w:sz w:val="20"/>
                <w:szCs w:val="20"/>
              </w:rPr>
              <w:t xml:space="preserve">Datenart</w:t>
            </w:r>
          </w:p>
        </w:tc>
        <w:tc>
          <w:tcPr>
            <w:tcMar>
              <w:top w:type="dxa" w:w="60"/>
              <w:left w:type="dxa" w:w="100"/>
              <w:bottom w:type="dxa" w:w="60"/>
              <w:right w:type="dxa" w:w="100"/>
            </w:tcMar>
          </w:tcPr>
          <w:p>
            <w:r>
              <w:rPr>
                <w:b/>
                <w:bCs/>
                <w:sz w:val="20"/>
                <w:szCs w:val="20"/>
              </w:rPr>
              <w:t xml:space="preserve">Auslösendes Ereignis</w:t>
            </w:r>
          </w:p>
        </w:tc>
        <w:tc>
          <w:tcPr>
            <w:tcMar>
              <w:top w:type="dxa" w:w="60"/>
              <w:left w:type="dxa" w:w="100"/>
              <w:bottom w:type="dxa" w:w="60"/>
              <w:right w:type="dxa" w:w="100"/>
            </w:tcMar>
          </w:tcPr>
          <w:p>
            <w:r>
              <w:rPr>
                <w:b/>
                <w:bCs/>
                <w:sz w:val="20"/>
                <w:szCs w:val="20"/>
              </w:rPr>
              <w:t xml:space="preserve">Frist</w:t>
            </w:r>
          </w:p>
        </w:tc>
        <w:tc>
          <w:tcPr>
            <w:tcMar>
              <w:top w:type="dxa" w:w="60"/>
              <w:left w:type="dxa" w:w="100"/>
              <w:bottom w:type="dxa" w:w="60"/>
              <w:right w:type="dxa" w:w="100"/>
            </w:tcMar>
          </w:tcPr>
          <w:p>
            <w:r>
              <w:rPr>
                <w:b/>
                <w:bCs/>
                <w:sz w:val="20"/>
                <w:szCs w:val="20"/>
              </w:rPr>
              <w:t xml:space="preserve">Rechtsgrundlage</w:t>
            </w:r>
          </w:p>
        </w:tc>
        <w:tc>
          <w:tcPr>
            <w:tcMar>
              <w:top w:type="dxa" w:w="60"/>
              <w:left w:type="dxa" w:w="100"/>
              <w:bottom w:type="dxa" w:w="60"/>
              <w:right w:type="dxa" w:w="100"/>
            </w:tcMar>
          </w:tcPr>
          <w:p>
            <w:r>
              <w:rPr>
                <w:b/>
                <w:bCs/>
                <w:sz w:val="20"/>
                <w:szCs w:val="20"/>
              </w:rPr>
              <w:t xml:space="preserve">Verantwortlich</w:t>
            </w:r>
          </w:p>
        </w:tc>
      </w:tr>
      <w:tr>
        <w:tc>
          <w:tcPr>
            <w:tcMar>
              <w:top w:type="dxa" w:w="60"/>
              <w:left w:type="dxa" w:w="100"/>
              <w:bottom w:type="dxa" w:w="60"/>
              <w:right w:type="dxa" w:w="100"/>
            </w:tcMar>
          </w:tcPr>
          <w:p>
            <w:r>
              <w:rPr>
                <w:b w:val="false"/>
                <w:bCs w:val="false"/>
                <w:sz w:val="20"/>
                <w:szCs w:val="20"/>
              </w:rPr>
              <w:t xml:space="preserve">Stammdaten aktives Mitglied</w:t>
            </w:r>
          </w:p>
        </w:tc>
        <w:tc>
          <w:tcPr>
            <w:tcMar>
              <w:top w:type="dxa" w:w="60"/>
              <w:left w:type="dxa" w:w="100"/>
              <w:bottom w:type="dxa" w:w="60"/>
              <w:right w:type="dxa" w:w="100"/>
            </w:tcMar>
          </w:tcPr>
          <w:p>
            <w:r>
              <w:rPr>
                <w:b w:val="false"/>
                <w:bCs w:val="false"/>
                <w:sz w:val="20"/>
                <w:szCs w:val="20"/>
              </w:rPr>
              <w:t xml:space="preserve">—</w:t>
            </w:r>
          </w:p>
        </w:tc>
        <w:tc>
          <w:tcPr>
            <w:tcMar>
              <w:top w:type="dxa" w:w="60"/>
              <w:left w:type="dxa" w:w="100"/>
              <w:bottom w:type="dxa" w:w="60"/>
              <w:right w:type="dxa" w:w="100"/>
            </w:tcMar>
          </w:tcPr>
          <w:p>
            <w:r>
              <w:rPr>
                <w:b w:val="false"/>
                <w:bCs w:val="false"/>
                <w:sz w:val="20"/>
                <w:szCs w:val="20"/>
              </w:rPr>
              <w:t xml:space="preserve">Dauer der Mitgliedschaft</w:t>
            </w:r>
          </w:p>
        </w:tc>
        <w:tc>
          <w:tcPr>
            <w:tcMar>
              <w:top w:type="dxa" w:w="60"/>
              <w:left w:type="dxa" w:w="100"/>
              <w:bottom w:type="dxa" w:w="60"/>
              <w:right w:type="dxa" w:w="100"/>
            </w:tcMar>
          </w:tcPr>
          <w:p>
            <w:r>
              <w:rPr>
                <w:b w:val="false"/>
                <w:bCs w:val="false"/>
                <w:sz w:val="20"/>
                <w:szCs w:val="20"/>
              </w:rPr>
              <w:t xml:space="preserve">Mitgliedschaftsverhältnis, Art. 6 Abs. 1 lit. b DSGVO</w:t>
            </w:r>
          </w:p>
        </w:tc>
        <w:tc>
          <w:tcPr>
            <w:tcMar>
              <w:top w:type="dxa" w:w="60"/>
              <w:left w:type="dxa" w:w="100"/>
              <w:bottom w:type="dxa" w:w="60"/>
              <w:right w:type="dxa" w:w="100"/>
            </w:tcMar>
          </w:tcPr>
          <w:p/>
        </w:tc>
      </w:tr>
      <w:tr>
        <w:tc>
          <w:tcPr>
            <w:tcMar>
              <w:top w:type="dxa" w:w="60"/>
              <w:left w:type="dxa" w:w="100"/>
              <w:bottom w:type="dxa" w:w="60"/>
              <w:right w:type="dxa" w:w="100"/>
            </w:tcMar>
          </w:tcPr>
          <w:p>
            <w:r>
              <w:rPr>
                <w:b w:val="false"/>
                <w:bCs w:val="false"/>
                <w:sz w:val="20"/>
                <w:szCs w:val="20"/>
              </w:rPr>
              <w:t xml:space="preserve">Stammdaten nach Austritt</w:t>
            </w:r>
          </w:p>
        </w:tc>
        <w:tc>
          <w:tcPr>
            <w:tcMar>
              <w:top w:type="dxa" w:w="60"/>
              <w:left w:type="dxa" w:w="100"/>
              <w:bottom w:type="dxa" w:w="60"/>
              <w:right w:type="dxa" w:w="100"/>
            </w:tcMar>
          </w:tcPr>
          <w:p>
            <w:r>
              <w:rPr>
                <w:b w:val="false"/>
                <w:bCs w:val="false"/>
                <w:sz w:val="20"/>
                <w:szCs w:val="20"/>
              </w:rPr>
              <w:t xml:space="preserve">Schluss des Austrittsjahres</w:t>
            </w:r>
          </w:p>
        </w:tc>
        <w:tc>
          <w:tcPr>
            <w:tcMar>
              <w:top w:type="dxa" w:w="60"/>
              <w:left w:type="dxa" w:w="100"/>
              <w:bottom w:type="dxa" w:w="60"/>
              <w:right w:type="dxa" w:w="100"/>
            </w:tcMar>
          </w:tcPr>
          <w:p>
            <w:r>
              <w:rPr>
                <w:b w:val="false"/>
                <w:bCs w:val="false"/>
                <w:sz w:val="20"/>
                <w:szCs w:val="20"/>
              </w:rPr>
              <w:t xml:space="preserve">3 Jahre</w:t>
            </w:r>
          </w:p>
        </w:tc>
        <w:tc>
          <w:tcPr>
            <w:tcMar>
              <w:top w:type="dxa" w:w="60"/>
              <w:left w:type="dxa" w:w="100"/>
              <w:bottom w:type="dxa" w:w="60"/>
              <w:right w:type="dxa" w:w="100"/>
            </w:tcMar>
          </w:tcPr>
          <w:p>
            <w:r>
              <w:rPr>
                <w:b w:val="false"/>
                <w:bCs w:val="false"/>
                <w:sz w:val="20"/>
                <w:szCs w:val="20"/>
              </w:rPr>
              <w:t xml:space="preserve">§ 195, § 199 Abs. 1 BGB</w:t>
            </w:r>
          </w:p>
        </w:tc>
        <w:tc>
          <w:tcPr>
            <w:tcMar>
              <w:top w:type="dxa" w:w="60"/>
              <w:left w:type="dxa" w:w="100"/>
              <w:bottom w:type="dxa" w:w="60"/>
              <w:right w:type="dxa" w:w="100"/>
            </w:tcMar>
          </w:tcPr>
          <w:p/>
        </w:tc>
      </w:tr>
      <w:tr>
        <w:tc>
          <w:tcPr>
            <w:tcMar>
              <w:top w:type="dxa" w:w="60"/>
              <w:left w:type="dxa" w:w="100"/>
              <w:bottom w:type="dxa" w:w="60"/>
              <w:right w:type="dxa" w:w="100"/>
            </w:tcMar>
          </w:tcPr>
          <w:p>
            <w:r>
              <w:rPr>
                <w:b w:val="false"/>
                <w:bCs w:val="false"/>
                <w:sz w:val="20"/>
                <w:szCs w:val="20"/>
              </w:rPr>
              <w:t xml:space="preserve">Kontaktdaten ohne Belegbezug (Telefon, private E-Mail, Notizen)</w:t>
            </w:r>
          </w:p>
        </w:tc>
        <w:tc>
          <w:tcPr>
            <w:tcMar>
              <w:top w:type="dxa" w:w="60"/>
              <w:left w:type="dxa" w:w="100"/>
              <w:bottom w:type="dxa" w:w="60"/>
              <w:right w:type="dxa" w:w="100"/>
            </w:tcMar>
          </w:tcPr>
          <w:p>
            <w:r>
              <w:rPr>
                <w:b w:val="false"/>
                <w:bCs w:val="false"/>
                <w:sz w:val="20"/>
                <w:szCs w:val="20"/>
              </w:rPr>
              <w:t xml:space="preserve">Austritt</w:t>
            </w:r>
          </w:p>
        </w:tc>
        <w:tc>
          <w:tcPr>
            <w:tcMar>
              <w:top w:type="dxa" w:w="60"/>
              <w:left w:type="dxa" w:w="100"/>
              <w:bottom w:type="dxa" w:w="60"/>
              <w:right w:type="dxa" w:w="100"/>
            </w:tcMar>
          </w:tcPr>
          <w:p>
            <w:r>
              <w:rPr>
                <w:b w:val="false"/>
                <w:bCs w:val="false"/>
                <w:sz w:val="20"/>
                <w:szCs w:val="20"/>
              </w:rPr>
              <w:t xml:space="preserve">zeitnah löschen</w:t>
            </w:r>
          </w:p>
        </w:tc>
        <w:tc>
          <w:tcPr>
            <w:tcMar>
              <w:top w:type="dxa" w:w="60"/>
              <w:left w:type="dxa" w:w="100"/>
              <w:bottom w:type="dxa" w:w="60"/>
              <w:right w:type="dxa" w:w="100"/>
            </w:tcMar>
          </w:tcPr>
          <w:p>
            <w:r>
              <w:rPr>
                <w:b w:val="false"/>
                <w:bCs w:val="false"/>
                <w:sz w:val="20"/>
                <w:szCs w:val="20"/>
              </w:rPr>
              <w:t xml:space="preserve">Zweckfortfall, Art. 17 Abs. 1 lit. a DSGVO</w:t>
            </w:r>
          </w:p>
        </w:tc>
        <w:tc>
          <w:tcPr>
            <w:tcMar>
              <w:top w:type="dxa" w:w="60"/>
              <w:left w:type="dxa" w:w="100"/>
              <w:bottom w:type="dxa" w:w="60"/>
              <w:right w:type="dxa" w:w="100"/>
            </w:tcMar>
          </w:tcPr>
          <w:p/>
        </w:tc>
      </w:tr>
      <w:tr>
        <w:tc>
          <w:tcPr>
            <w:tcMar>
              <w:top w:type="dxa" w:w="60"/>
              <w:left w:type="dxa" w:w="100"/>
              <w:bottom w:type="dxa" w:w="60"/>
              <w:right w:type="dxa" w:w="100"/>
            </w:tcMar>
          </w:tcPr>
          <w:p>
            <w:r>
              <w:rPr>
                <w:b w:val="false"/>
                <w:bCs w:val="false"/>
                <w:sz w:val="20"/>
                <w:szCs w:val="20"/>
              </w:rPr>
              <w:t xml:space="preserve">Aufnahmeantrag eines aufgenommenen Mitglieds</w:t>
            </w:r>
          </w:p>
        </w:tc>
        <w:tc>
          <w:tcPr>
            <w:tcMar>
              <w:top w:type="dxa" w:w="60"/>
              <w:left w:type="dxa" w:w="100"/>
              <w:bottom w:type="dxa" w:w="60"/>
              <w:right w:type="dxa" w:w="100"/>
            </w:tcMar>
          </w:tcPr>
          <w:p>
            <w:r>
              <w:rPr>
                <w:b w:val="false"/>
                <w:bCs w:val="false"/>
                <w:sz w:val="20"/>
                <w:szCs w:val="20"/>
              </w:rPr>
              <w:t xml:space="preserve">Schluss des Austrittsjahres</w:t>
            </w:r>
          </w:p>
        </w:tc>
        <w:tc>
          <w:tcPr>
            <w:tcMar>
              <w:top w:type="dxa" w:w="60"/>
              <w:left w:type="dxa" w:w="100"/>
              <w:bottom w:type="dxa" w:w="60"/>
              <w:right w:type="dxa" w:w="100"/>
            </w:tcMar>
          </w:tcPr>
          <w:p>
            <w:r>
              <w:rPr>
                <w:b w:val="false"/>
                <w:bCs w:val="false"/>
                <w:sz w:val="20"/>
                <w:szCs w:val="20"/>
              </w:rPr>
              <w:t xml:space="preserve">wie Stammdaten</w:t>
            </w:r>
          </w:p>
        </w:tc>
        <w:tc>
          <w:tcPr>
            <w:tcMar>
              <w:top w:type="dxa" w:w="60"/>
              <w:left w:type="dxa" w:w="100"/>
              <w:bottom w:type="dxa" w:w="60"/>
              <w:right w:type="dxa" w:w="100"/>
            </w:tcMar>
          </w:tcPr>
          <w:p>
            <w:r>
              <w:rPr>
                <w:b w:val="false"/>
                <w:bCs w:val="false"/>
                <w:sz w:val="20"/>
                <w:szCs w:val="20"/>
              </w:rPr>
              <w:t xml:space="preserve">Nachweis des Beitritts</w:t>
            </w:r>
          </w:p>
        </w:tc>
        <w:tc>
          <w:tcPr>
            <w:tcMar>
              <w:top w:type="dxa" w:w="60"/>
              <w:left w:type="dxa" w:w="100"/>
              <w:bottom w:type="dxa" w:w="60"/>
              <w:right w:type="dxa" w:w="100"/>
            </w:tcMar>
          </w:tcPr>
          <w:p/>
        </w:tc>
      </w:tr>
      <w:tr>
        <w:tc>
          <w:tcPr>
            <w:tcMar>
              <w:top w:type="dxa" w:w="60"/>
              <w:left w:type="dxa" w:w="100"/>
              <w:bottom w:type="dxa" w:w="60"/>
              <w:right w:type="dxa" w:w="100"/>
            </w:tcMar>
          </w:tcPr>
          <w:p>
            <w:r>
              <w:rPr>
                <w:b w:val="false"/>
                <w:bCs w:val="false"/>
                <w:sz w:val="20"/>
                <w:szCs w:val="20"/>
              </w:rPr>
              <w:t xml:space="preserve">Abgelehnter oder zurückgezogener Aufnahmeantrag</w:t>
            </w:r>
          </w:p>
        </w:tc>
        <w:tc>
          <w:tcPr>
            <w:tcMar>
              <w:top w:type="dxa" w:w="60"/>
              <w:left w:type="dxa" w:w="100"/>
              <w:bottom w:type="dxa" w:w="60"/>
              <w:right w:type="dxa" w:w="100"/>
            </w:tcMar>
          </w:tcPr>
          <w:p>
            <w:r>
              <w:rPr>
                <w:b w:val="false"/>
                <w:bCs w:val="false"/>
                <w:sz w:val="20"/>
                <w:szCs w:val="20"/>
              </w:rPr>
              <w:t xml:space="preserve">Entscheidung</w:t>
            </w:r>
          </w:p>
        </w:tc>
        <w:tc>
          <w:tcPr>
            <w:tcMar>
              <w:top w:type="dxa" w:w="60"/>
              <w:left w:type="dxa" w:w="100"/>
              <w:bottom w:type="dxa" w:w="60"/>
              <w:right w:type="dxa" w:w="100"/>
            </w:tcMar>
          </w:tcPr>
          <w:p>
            <w:r>
              <w:rPr>
                <w:b w:val="false"/>
                <w:bCs w:val="false"/>
                <w:sz w:val="20"/>
                <w:szCs w:val="20"/>
              </w:rPr>
              <w:t xml:space="preserve">wenige Monate (Praxiswert)</w:t>
            </w:r>
          </w:p>
        </w:tc>
        <w:tc>
          <w:tcPr>
            <w:tcMar>
              <w:top w:type="dxa" w:w="60"/>
              <w:left w:type="dxa" w:w="100"/>
              <w:bottom w:type="dxa" w:w="60"/>
              <w:right w:type="dxa" w:w="100"/>
            </w:tcMar>
          </w:tcPr>
          <w:p>
            <w:r>
              <w:rPr>
                <w:b w:val="false"/>
                <w:bCs w:val="false"/>
                <w:sz w:val="20"/>
                <w:szCs w:val="20"/>
              </w:rPr>
              <w:t xml:space="preserve">kein Aufbewahrungsgrund</w:t>
            </w:r>
          </w:p>
        </w:tc>
        <w:tc>
          <w:tcPr>
            <w:tcMar>
              <w:top w:type="dxa" w:w="60"/>
              <w:left w:type="dxa" w:w="100"/>
              <w:bottom w:type="dxa" w:w="60"/>
              <w:right w:type="dxa" w:w="100"/>
            </w:tcMar>
          </w:tcPr>
          <w:p/>
        </w:tc>
      </w:tr>
      <w:tr>
        <w:tc>
          <w:tcPr>
            <w:tcMar>
              <w:top w:type="dxa" w:w="60"/>
              <w:left w:type="dxa" w:w="100"/>
              <w:bottom w:type="dxa" w:w="60"/>
              <w:right w:type="dxa" w:w="100"/>
            </w:tcMar>
          </w:tcPr>
          <w:p>
            <w:r>
              <w:rPr>
                <w:b w:val="false"/>
                <w:bCs w:val="false"/>
                <w:sz w:val="20"/>
                <w:szCs w:val="20"/>
              </w:rPr>
              <w:t xml:space="preserve">Beitragsrechnungen und Buchungsbelege</w:t>
            </w:r>
          </w:p>
        </w:tc>
        <w:tc>
          <w:tcPr>
            <w:tcMar>
              <w:top w:type="dxa" w:w="60"/>
              <w:left w:type="dxa" w:w="100"/>
              <w:bottom w:type="dxa" w:w="60"/>
              <w:right w:type="dxa" w:w="100"/>
            </w:tcMar>
          </w:tcPr>
          <w:p>
            <w:r>
              <w:rPr>
                <w:b w:val="false"/>
                <w:bCs w:val="false"/>
                <w:sz w:val="20"/>
                <w:szCs w:val="20"/>
              </w:rPr>
              <w:t xml:space="preserve">Schluss des Entstehungsjahres</w:t>
            </w:r>
          </w:p>
        </w:tc>
        <w:tc>
          <w:tcPr>
            <w:tcMar>
              <w:top w:type="dxa" w:w="60"/>
              <w:left w:type="dxa" w:w="100"/>
              <w:bottom w:type="dxa" w:w="60"/>
              <w:right w:type="dxa" w:w="100"/>
            </w:tcMar>
          </w:tcPr>
          <w:p>
            <w:r>
              <w:rPr>
                <w:b w:val="false"/>
                <w:bCs w:val="false"/>
                <w:sz w:val="20"/>
                <w:szCs w:val="20"/>
              </w:rPr>
              <w:t xml:space="preserve">8 Jahre</w:t>
            </w:r>
          </w:p>
        </w:tc>
        <w:tc>
          <w:tcPr>
            <w:tcMar>
              <w:top w:type="dxa" w:w="60"/>
              <w:left w:type="dxa" w:w="100"/>
              <w:bottom w:type="dxa" w:w="60"/>
              <w:right w:type="dxa" w:w="100"/>
            </w:tcMar>
          </w:tcPr>
          <w:p>
            <w:r>
              <w:rPr>
                <w:b w:val="false"/>
                <w:bCs w:val="false"/>
                <w:sz w:val="20"/>
                <w:szCs w:val="20"/>
              </w:rPr>
              <w:t xml:space="preserve">§ 147 Abs. 3 AO</w:t>
            </w:r>
          </w:p>
        </w:tc>
        <w:tc>
          <w:tcPr>
            <w:tcMar>
              <w:top w:type="dxa" w:w="60"/>
              <w:left w:type="dxa" w:w="100"/>
              <w:bottom w:type="dxa" w:w="60"/>
              <w:right w:type="dxa" w:w="100"/>
            </w:tcMar>
          </w:tcPr>
          <w:p/>
        </w:tc>
      </w:tr>
      <w:tr>
        <w:tc>
          <w:tcPr>
            <w:tcMar>
              <w:top w:type="dxa" w:w="60"/>
              <w:left w:type="dxa" w:w="100"/>
              <w:bottom w:type="dxa" w:w="60"/>
              <w:right w:type="dxa" w:w="100"/>
            </w:tcMar>
          </w:tcPr>
          <w:p>
            <w:r>
              <w:rPr>
                <w:b w:val="false"/>
                <w:bCs w:val="false"/>
                <w:sz w:val="20"/>
                <w:szCs w:val="20"/>
              </w:rPr>
              <w:t xml:space="preserve">Kassenbuch, Jahresabschlüsse, Aufzeichnungen</w:t>
            </w:r>
          </w:p>
        </w:tc>
        <w:tc>
          <w:tcPr>
            <w:tcMar>
              <w:top w:type="dxa" w:w="60"/>
              <w:left w:type="dxa" w:w="100"/>
              <w:bottom w:type="dxa" w:w="60"/>
              <w:right w:type="dxa" w:w="100"/>
            </w:tcMar>
          </w:tcPr>
          <w:p>
            <w:r>
              <w:rPr>
                <w:b w:val="false"/>
                <w:bCs w:val="false"/>
                <w:sz w:val="20"/>
                <w:szCs w:val="20"/>
              </w:rPr>
              <w:t xml:space="preserve">Schluss des Entstehungsjahres</w:t>
            </w:r>
          </w:p>
        </w:tc>
        <w:tc>
          <w:tcPr>
            <w:tcMar>
              <w:top w:type="dxa" w:w="60"/>
              <w:left w:type="dxa" w:w="100"/>
              <w:bottom w:type="dxa" w:w="60"/>
              <w:right w:type="dxa" w:w="100"/>
            </w:tcMar>
          </w:tcPr>
          <w:p>
            <w:r>
              <w:rPr>
                <w:b w:val="false"/>
                <w:bCs w:val="false"/>
                <w:sz w:val="20"/>
                <w:szCs w:val="20"/>
              </w:rPr>
              <w:t xml:space="preserve">10 Jahre</w:t>
            </w:r>
          </w:p>
        </w:tc>
        <w:tc>
          <w:tcPr>
            <w:tcMar>
              <w:top w:type="dxa" w:w="60"/>
              <w:left w:type="dxa" w:w="100"/>
              <w:bottom w:type="dxa" w:w="60"/>
              <w:right w:type="dxa" w:w="100"/>
            </w:tcMar>
          </w:tcPr>
          <w:p>
            <w:r>
              <w:rPr>
                <w:b w:val="false"/>
                <w:bCs w:val="false"/>
                <w:sz w:val="20"/>
                <w:szCs w:val="20"/>
              </w:rPr>
              <w:t xml:space="preserve">§ 147 Abs. 3 AO</w:t>
            </w:r>
          </w:p>
        </w:tc>
        <w:tc>
          <w:tcPr>
            <w:tcMar>
              <w:top w:type="dxa" w:w="60"/>
              <w:left w:type="dxa" w:w="100"/>
              <w:bottom w:type="dxa" w:w="60"/>
              <w:right w:type="dxa" w:w="100"/>
            </w:tcMar>
          </w:tcPr>
          <w:p/>
        </w:tc>
      </w:tr>
      <w:tr>
        <w:tc>
          <w:tcPr>
            <w:tcMar>
              <w:top w:type="dxa" w:w="60"/>
              <w:left w:type="dxa" w:w="100"/>
              <w:bottom w:type="dxa" w:w="60"/>
              <w:right w:type="dxa" w:w="100"/>
            </w:tcMar>
          </w:tcPr>
          <w:p>
            <w:r>
              <w:rPr>
                <w:b w:val="false"/>
                <w:bCs w:val="false"/>
                <w:sz w:val="20"/>
                <w:szCs w:val="20"/>
              </w:rPr>
              <w:t xml:space="preserve">Doppel der Zuwendungsbestätigung</w:t>
            </w:r>
          </w:p>
        </w:tc>
        <w:tc>
          <w:tcPr>
            <w:tcMar>
              <w:top w:type="dxa" w:w="60"/>
              <w:left w:type="dxa" w:w="100"/>
              <w:bottom w:type="dxa" w:w="60"/>
              <w:right w:type="dxa" w:w="100"/>
            </w:tcMar>
          </w:tcPr>
          <w:p>
            <w:r>
              <w:rPr>
                <w:b w:val="false"/>
                <w:bCs w:val="false"/>
                <w:sz w:val="20"/>
                <w:szCs w:val="20"/>
              </w:rPr>
              <w:t xml:space="preserve">Schluss des Ausstellungsjahres</w:t>
            </w:r>
          </w:p>
        </w:tc>
        <w:tc>
          <w:tcPr>
            <w:tcMar>
              <w:top w:type="dxa" w:w="60"/>
              <w:left w:type="dxa" w:w="100"/>
              <w:bottom w:type="dxa" w:w="60"/>
              <w:right w:type="dxa" w:w="100"/>
            </w:tcMar>
          </w:tcPr>
          <w:p>
            <w:r>
              <w:rPr>
                <w:b w:val="false"/>
                <w:bCs w:val="false"/>
                <w:sz w:val="20"/>
                <w:szCs w:val="20"/>
              </w:rPr>
              <w:t xml:space="preserve">10 Jahre</w:t>
            </w:r>
          </w:p>
        </w:tc>
        <w:tc>
          <w:tcPr>
            <w:tcMar>
              <w:top w:type="dxa" w:w="60"/>
              <w:left w:type="dxa" w:w="100"/>
              <w:bottom w:type="dxa" w:w="60"/>
              <w:right w:type="dxa" w:w="100"/>
            </w:tcMar>
          </w:tcPr>
          <w:p>
            <w:r>
              <w:rPr>
                <w:b w:val="false"/>
                <w:bCs w:val="false"/>
                <w:sz w:val="20"/>
                <w:szCs w:val="20"/>
              </w:rPr>
              <w:t xml:space="preserve">§ 50 Abs. 7 EStDV in Verbindung mit § 147 AO; entfällt im Verfahren nach § 50 Abs. 2 EStDV</w:t>
            </w:r>
          </w:p>
        </w:tc>
        <w:tc>
          <w:tcPr>
            <w:tcMar>
              <w:top w:type="dxa" w:w="60"/>
              <w:left w:type="dxa" w:w="100"/>
              <w:bottom w:type="dxa" w:w="60"/>
              <w:right w:type="dxa" w:w="100"/>
            </w:tcMar>
          </w:tcPr>
          <w:p/>
        </w:tc>
      </w:tr>
      <w:tr>
        <w:tc>
          <w:tcPr>
            <w:tcMar>
              <w:top w:type="dxa" w:w="60"/>
              <w:left w:type="dxa" w:w="100"/>
              <w:bottom w:type="dxa" w:w="60"/>
              <w:right w:type="dxa" w:w="100"/>
            </w:tcMar>
          </w:tcPr>
          <w:p>
            <w:r>
              <w:rPr>
                <w:b w:val="false"/>
                <w:bCs w:val="false"/>
                <w:sz w:val="20"/>
                <w:szCs w:val="20"/>
              </w:rPr>
              <w:t xml:space="preserve">SEPA-Mandat, aktiv genutzt</w:t>
            </w:r>
          </w:p>
        </w:tc>
        <w:tc>
          <w:tcPr>
            <w:tcMar>
              <w:top w:type="dxa" w:w="60"/>
              <w:left w:type="dxa" w:w="100"/>
              <w:bottom w:type="dxa" w:w="60"/>
              <w:right w:type="dxa" w:w="100"/>
            </w:tcMar>
          </w:tcPr>
          <w:p>
            <w:r>
              <w:rPr>
                <w:b w:val="false"/>
                <w:bCs w:val="false"/>
                <w:sz w:val="20"/>
                <w:szCs w:val="20"/>
              </w:rPr>
              <w:t xml:space="preserve">—</w:t>
            </w:r>
          </w:p>
        </w:tc>
        <w:tc>
          <w:tcPr>
            <w:tcMar>
              <w:top w:type="dxa" w:w="60"/>
              <w:left w:type="dxa" w:w="100"/>
              <w:bottom w:type="dxa" w:w="60"/>
              <w:right w:type="dxa" w:w="100"/>
            </w:tcMar>
          </w:tcPr>
          <w:p>
            <w:r>
              <w:rPr>
                <w:b w:val="false"/>
                <w:bCs w:val="false"/>
                <w:sz w:val="20"/>
                <w:szCs w:val="20"/>
              </w:rPr>
              <w:t xml:space="preserve">solange Einzüge erfolgen</w:t>
            </w:r>
          </w:p>
        </w:tc>
        <w:tc>
          <w:tcPr>
            <w:tcMar>
              <w:top w:type="dxa" w:w="60"/>
              <w:left w:type="dxa" w:w="100"/>
              <w:bottom w:type="dxa" w:w="60"/>
              <w:right w:type="dxa" w:w="100"/>
            </w:tcMar>
          </w:tcPr>
          <w:p>
            <w:r>
              <w:rPr>
                <w:b w:val="false"/>
                <w:bCs w:val="false"/>
                <w:sz w:val="20"/>
                <w:szCs w:val="20"/>
              </w:rPr>
              <w:t xml:space="preserve">Verfall 36 Monate nach letztem Einzug</w:t>
            </w:r>
          </w:p>
        </w:tc>
        <w:tc>
          <w:tcPr>
            <w:tcMar>
              <w:top w:type="dxa" w:w="60"/>
              <w:left w:type="dxa" w:w="100"/>
              <w:bottom w:type="dxa" w:w="60"/>
              <w:right w:type="dxa" w:w="100"/>
            </w:tcMar>
          </w:tcPr>
          <w:p/>
        </w:tc>
      </w:tr>
      <w:tr>
        <w:tc>
          <w:tcPr>
            <w:tcMar>
              <w:top w:type="dxa" w:w="60"/>
              <w:left w:type="dxa" w:w="100"/>
              <w:bottom w:type="dxa" w:w="60"/>
              <w:right w:type="dxa" w:w="100"/>
            </w:tcMar>
          </w:tcPr>
          <w:p>
            <w:r>
              <w:rPr>
                <w:b w:val="false"/>
                <w:bCs w:val="false"/>
                <w:sz w:val="20"/>
                <w:szCs w:val="20"/>
              </w:rPr>
              <w:t xml:space="preserve">SEPA-Mandat, widerrufen oder verfallen</w:t>
            </w:r>
          </w:p>
        </w:tc>
        <w:tc>
          <w:tcPr>
            <w:tcMar>
              <w:top w:type="dxa" w:w="60"/>
              <w:left w:type="dxa" w:w="100"/>
              <w:bottom w:type="dxa" w:w="60"/>
              <w:right w:type="dxa" w:w="100"/>
            </w:tcMar>
          </w:tcPr>
          <w:p>
            <w:r>
              <w:rPr>
                <w:b w:val="false"/>
                <w:bCs w:val="false"/>
                <w:sz w:val="20"/>
                <w:szCs w:val="20"/>
              </w:rPr>
              <w:t xml:space="preserve">letzte darauf gestützte Belastung</w:t>
            </w:r>
          </w:p>
        </w:tc>
        <w:tc>
          <w:tcPr>
            <w:tcMar>
              <w:top w:type="dxa" w:w="60"/>
              <w:left w:type="dxa" w:w="100"/>
              <w:bottom w:type="dxa" w:w="60"/>
              <w:right w:type="dxa" w:w="100"/>
            </w:tcMar>
          </w:tcPr>
          <w:p>
            <w:r>
              <w:rPr>
                <w:b w:val="false"/>
                <w:bCs w:val="false"/>
                <w:sz w:val="20"/>
                <w:szCs w:val="20"/>
              </w:rPr>
              <w:t xml:space="preserve">14 Monate (Praxiswert)</w:t>
            </w:r>
          </w:p>
        </w:tc>
        <w:tc>
          <w:tcPr>
            <w:tcMar>
              <w:top w:type="dxa" w:w="60"/>
              <w:left w:type="dxa" w:w="100"/>
              <w:bottom w:type="dxa" w:w="60"/>
              <w:right w:type="dxa" w:w="100"/>
            </w:tcMar>
          </w:tcPr>
          <w:p>
            <w:r>
              <w:rPr>
                <w:b w:val="false"/>
                <w:bCs w:val="false"/>
                <w:sz w:val="20"/>
                <w:szCs w:val="20"/>
              </w:rPr>
              <w:t xml:space="preserve">§ 676b Abs. 2 BGB (13 Monate) plus Puffer</w:t>
            </w:r>
          </w:p>
        </w:tc>
        <w:tc>
          <w:tcPr>
            <w:tcMar>
              <w:top w:type="dxa" w:w="60"/>
              <w:left w:type="dxa" w:w="100"/>
              <w:bottom w:type="dxa" w:w="60"/>
              <w:right w:type="dxa" w:w="100"/>
            </w:tcMar>
          </w:tcPr>
          <w:p/>
        </w:tc>
      </w:tr>
      <w:tr>
        <w:tc>
          <w:tcPr>
            <w:tcMar>
              <w:top w:type="dxa" w:w="60"/>
              <w:left w:type="dxa" w:w="100"/>
              <w:bottom w:type="dxa" w:w="60"/>
              <w:right w:type="dxa" w:w="100"/>
            </w:tcMar>
          </w:tcPr>
          <w:p>
            <w:r>
              <w:rPr>
                <w:b w:val="false"/>
                <w:bCs w:val="false"/>
                <w:sz w:val="20"/>
                <w:szCs w:val="20"/>
              </w:rPr>
              <w:t xml:space="preserve">Einwilligung in Foto- und Videoaufnahmen</w:t>
            </w:r>
          </w:p>
        </w:tc>
        <w:tc>
          <w:tcPr>
            <w:tcMar>
              <w:top w:type="dxa" w:w="60"/>
              <w:left w:type="dxa" w:w="100"/>
              <w:bottom w:type="dxa" w:w="60"/>
              <w:right w:type="dxa" w:w="100"/>
            </w:tcMar>
          </w:tcPr>
          <w:p>
            <w:r>
              <w:rPr>
                <w:b w:val="false"/>
                <w:bCs w:val="false"/>
                <w:sz w:val="20"/>
                <w:szCs w:val="20"/>
              </w:rPr>
              <w:t xml:space="preserve">Ende der Bildnutzung</w:t>
            </w:r>
          </w:p>
        </w:tc>
        <w:tc>
          <w:tcPr>
            <w:tcMar>
              <w:top w:type="dxa" w:w="60"/>
              <w:left w:type="dxa" w:w="100"/>
              <w:bottom w:type="dxa" w:w="60"/>
              <w:right w:type="dxa" w:w="100"/>
            </w:tcMar>
          </w:tcPr>
          <w:p>
            <w:r>
              <w:rPr>
                <w:b w:val="false"/>
                <w:bCs w:val="false"/>
                <w:sz w:val="20"/>
                <w:szCs w:val="20"/>
              </w:rPr>
              <w:t xml:space="preserve">Dauer der Nutzung plus Nachweis</w:t>
            </w:r>
          </w:p>
        </w:tc>
        <w:tc>
          <w:tcPr>
            <w:tcMar>
              <w:top w:type="dxa" w:w="60"/>
              <w:left w:type="dxa" w:w="100"/>
              <w:bottom w:type="dxa" w:w="60"/>
              <w:right w:type="dxa" w:w="100"/>
            </w:tcMar>
          </w:tcPr>
          <w:p>
            <w:r>
              <w:rPr>
                <w:b w:val="false"/>
                <w:bCs w:val="false"/>
                <w:sz w:val="20"/>
                <w:szCs w:val="20"/>
              </w:rPr>
              <w:t xml:space="preserve">Art. 7 Abs. 1 DSGVO</w:t>
            </w:r>
          </w:p>
        </w:tc>
        <w:tc>
          <w:tcPr>
            <w:tcMar>
              <w:top w:type="dxa" w:w="60"/>
              <w:left w:type="dxa" w:w="100"/>
              <w:bottom w:type="dxa" w:w="60"/>
              <w:right w:type="dxa" w:w="100"/>
            </w:tcMar>
          </w:tcPr>
          <w:p/>
        </w:tc>
      </w:tr>
      <w:tr>
        <w:tc>
          <w:tcPr>
            <w:tcMar>
              <w:top w:type="dxa" w:w="60"/>
              <w:left w:type="dxa" w:w="100"/>
              <w:bottom w:type="dxa" w:w="60"/>
              <w:right w:type="dxa" w:w="100"/>
            </w:tcMar>
          </w:tcPr>
          <w:p>
            <w:r>
              <w:rPr>
                <w:b w:val="false"/>
                <w:bCs w:val="false"/>
                <w:sz w:val="20"/>
                <w:szCs w:val="20"/>
              </w:rPr>
              <w:t xml:space="preserve">Fotos und Videos</w:t>
            </w:r>
          </w:p>
        </w:tc>
        <w:tc>
          <w:tcPr>
            <w:tcMar>
              <w:top w:type="dxa" w:w="60"/>
              <w:left w:type="dxa" w:w="100"/>
              <w:bottom w:type="dxa" w:w="60"/>
              <w:right w:type="dxa" w:w="100"/>
            </w:tcMar>
          </w:tcPr>
          <w:p>
            <w:r>
              <w:rPr>
                <w:b w:val="false"/>
                <w:bCs w:val="false"/>
                <w:sz w:val="20"/>
                <w:szCs w:val="20"/>
              </w:rPr>
              <w:t xml:space="preserve">Widerruf oder Zweckende</w:t>
            </w:r>
          </w:p>
        </w:tc>
        <w:tc>
          <w:tcPr>
            <w:tcMar>
              <w:top w:type="dxa" w:w="60"/>
              <w:left w:type="dxa" w:w="100"/>
              <w:bottom w:type="dxa" w:w="60"/>
              <w:right w:type="dxa" w:w="100"/>
            </w:tcMar>
          </w:tcPr>
          <w:p>
            <w:r>
              <w:rPr>
                <w:b w:val="false"/>
                <w:bCs w:val="false"/>
                <w:sz w:val="20"/>
                <w:szCs w:val="20"/>
              </w:rPr>
              <w:t xml:space="preserve">bis Widerruf</w:t>
            </w:r>
          </w:p>
        </w:tc>
        <w:tc>
          <w:tcPr>
            <w:tcMar>
              <w:top w:type="dxa" w:w="60"/>
              <w:left w:type="dxa" w:w="100"/>
              <w:bottom w:type="dxa" w:w="60"/>
              <w:right w:type="dxa" w:w="100"/>
            </w:tcMar>
          </w:tcPr>
          <w:p>
            <w:r>
              <w:rPr>
                <w:b w:val="false"/>
                <w:bCs w:val="false"/>
                <w:sz w:val="20"/>
                <w:szCs w:val="20"/>
              </w:rPr>
              <w:t xml:space="preserve">Einwilligung, Widerruf wirkt für die Zukunft</w:t>
            </w:r>
          </w:p>
        </w:tc>
        <w:tc>
          <w:tcPr>
            <w:tcMar>
              <w:top w:type="dxa" w:w="60"/>
              <w:left w:type="dxa" w:w="100"/>
              <w:bottom w:type="dxa" w:w="60"/>
              <w:right w:type="dxa" w:w="100"/>
            </w:tcMar>
          </w:tcPr>
          <w:p/>
        </w:tc>
      </w:tr>
      <w:tr>
        <w:tc>
          <w:tcPr>
            <w:tcMar>
              <w:top w:type="dxa" w:w="60"/>
              <w:left w:type="dxa" w:w="100"/>
              <w:bottom w:type="dxa" w:w="60"/>
              <w:right w:type="dxa" w:w="100"/>
            </w:tcMar>
          </w:tcPr>
          <w:p>
            <w:r>
              <w:rPr>
                <w:b w:val="false"/>
                <w:bCs w:val="false"/>
                <w:sz w:val="20"/>
                <w:szCs w:val="20"/>
              </w:rPr>
              <w:t xml:space="preserve">Protokolle der Mitgliederversammlung</w:t>
            </w:r>
          </w:p>
        </w:tc>
        <w:tc>
          <w:tcPr>
            <w:tcMar>
              <w:top w:type="dxa" w:w="60"/>
              <w:left w:type="dxa" w:w="100"/>
              <w:bottom w:type="dxa" w:w="60"/>
              <w:right w:type="dxa" w:w="100"/>
            </w:tcMar>
          </w:tcPr>
          <w:p>
            <w:r>
              <w:rPr>
                <w:b w:val="false"/>
                <w:bCs w:val="false"/>
                <w:sz w:val="20"/>
                <w:szCs w:val="20"/>
              </w:rPr>
              <w:t xml:space="preserve">—</w:t>
            </w:r>
          </w:p>
        </w:tc>
        <w:tc>
          <w:tcPr>
            <w:tcMar>
              <w:top w:type="dxa" w:w="60"/>
              <w:left w:type="dxa" w:w="100"/>
              <w:bottom w:type="dxa" w:w="60"/>
              <w:right w:type="dxa" w:w="100"/>
            </w:tcMar>
          </w:tcPr>
          <w:p>
            <w:r>
              <w:rPr>
                <w:b w:val="false"/>
                <w:bCs w:val="false"/>
                <w:sz w:val="20"/>
                <w:szCs w:val="20"/>
              </w:rPr>
              <w:t xml:space="preserve">dauerhaft, Zugriff eingeschränkt</w:t>
            </w:r>
          </w:p>
        </w:tc>
        <w:tc>
          <w:tcPr>
            <w:tcMar>
              <w:top w:type="dxa" w:w="60"/>
              <w:left w:type="dxa" w:w="100"/>
              <w:bottom w:type="dxa" w:w="60"/>
              <w:right w:type="dxa" w:w="100"/>
            </w:tcMar>
          </w:tcPr>
          <w:p>
            <w:r>
              <w:rPr>
                <w:b w:val="false"/>
                <w:bCs w:val="false"/>
                <w:sz w:val="20"/>
                <w:szCs w:val="20"/>
              </w:rPr>
              <w:t xml:space="preserve">Beschluss- und Wahlnachweis</w:t>
            </w:r>
          </w:p>
        </w:tc>
        <w:tc>
          <w:tcPr>
            <w:tcMar>
              <w:top w:type="dxa" w:w="60"/>
              <w:left w:type="dxa" w:w="100"/>
              <w:bottom w:type="dxa" w:w="60"/>
              <w:right w:type="dxa" w:w="100"/>
            </w:tcMar>
          </w:tcPr>
          <w:p/>
        </w:tc>
      </w:tr>
      <w:tr>
        <w:tc>
          <w:tcPr>
            <w:tcMar>
              <w:top w:type="dxa" w:w="60"/>
              <w:left w:type="dxa" w:w="100"/>
              <w:bottom w:type="dxa" w:w="60"/>
              <w:right w:type="dxa" w:w="100"/>
            </w:tcMar>
          </w:tcPr>
          <w:p>
            <w:r>
              <w:rPr>
                <w:b w:val="false"/>
                <w:bCs w:val="false"/>
                <w:sz w:val="20"/>
                <w:szCs w:val="20"/>
              </w:rPr>
              <w:t xml:space="preserve">Zugriffs- und Änderungsprotokolle der Vereinssoftware</w:t>
            </w:r>
          </w:p>
        </w:tc>
        <w:tc>
          <w:tcPr>
            <w:tcMar>
              <w:top w:type="dxa" w:w="60"/>
              <w:left w:type="dxa" w:w="100"/>
              <w:bottom w:type="dxa" w:w="60"/>
              <w:right w:type="dxa" w:w="100"/>
            </w:tcMar>
          </w:tcPr>
          <w:p>
            <w:r>
              <w:rPr>
                <w:b w:val="false"/>
                <w:bCs w:val="false"/>
                <w:sz w:val="20"/>
                <w:szCs w:val="20"/>
              </w:rPr>
              <w:t xml:space="preserve">Eintrag</w:t>
            </w:r>
          </w:p>
        </w:tc>
        <w:tc>
          <w:tcPr>
            <w:tcMar>
              <w:top w:type="dxa" w:w="60"/>
              <w:left w:type="dxa" w:w="100"/>
              <w:bottom w:type="dxa" w:w="60"/>
              <w:right w:type="dxa" w:w="100"/>
            </w:tcMar>
          </w:tcPr>
          <w:p>
            <w:r>
              <w:rPr>
                <w:b w:val="false"/>
                <w:bCs w:val="false"/>
                <w:sz w:val="20"/>
                <w:szCs w:val="20"/>
              </w:rPr>
              <w:t xml:space="preserve">3 Jahre (Praxiswert)</w:t>
            </w:r>
          </w:p>
        </w:tc>
        <w:tc>
          <w:tcPr>
            <w:tcMar>
              <w:top w:type="dxa" w:w="60"/>
              <w:left w:type="dxa" w:w="100"/>
              <w:bottom w:type="dxa" w:w="60"/>
              <w:right w:type="dxa" w:w="100"/>
            </w:tcMar>
          </w:tcPr>
          <w:p>
            <w:r>
              <w:rPr>
                <w:b w:val="false"/>
                <w:bCs w:val="false"/>
                <w:sz w:val="20"/>
                <w:szCs w:val="20"/>
              </w:rPr>
              <w:t xml:space="preserve">Nachweisfähigkeit</w:t>
            </w:r>
          </w:p>
        </w:tc>
        <w:tc>
          <w:tcPr>
            <w:tcMar>
              <w:top w:type="dxa" w:w="60"/>
              <w:left w:type="dxa" w:w="100"/>
              <w:bottom w:type="dxa" w:w="60"/>
              <w:right w:type="dxa" w:w="100"/>
            </w:tcMar>
          </w:tcPr>
          <w:p/>
        </w:tc>
      </w:tr>
    </w:tbl>
    <w:p>
      <w:pPr>
        <w:spacing w:after="120"/>
      </w:pPr>
    </w:p>
    <w:p>
      <w:pPr>
        <w:spacing w:after="140" w:before="0"/>
      </w:pPr>
      <w:r>
        <w:t xml:space="preserve">Ergänzen Sie hier Datenarten, die es nur bei Ihnen gibt — etwa Gesundheitsangaben im Sportbetrieb, Startpassdaten oder Schlüsselverzeichnisse: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tcMar>
              <w:top w:type="dxa" w:w="60"/>
              <w:left w:type="dxa" w:w="100"/>
              <w:bottom w:type="dxa" w:w="60"/>
              <w:right w:type="dxa" w:w="100"/>
            </w:tcMar>
          </w:tcPr>
          <w:p>
            <w:r>
              <w:rPr>
                <w:b/>
                <w:bCs/>
                <w:sz w:val="20"/>
                <w:szCs w:val="20"/>
              </w:rPr>
              <w:t xml:space="preserve">Datenart</w:t>
            </w:r>
          </w:p>
        </w:tc>
        <w:tc>
          <w:tcPr>
            <w:tcMar>
              <w:top w:type="dxa" w:w="60"/>
              <w:left w:type="dxa" w:w="100"/>
              <w:bottom w:type="dxa" w:w="60"/>
              <w:right w:type="dxa" w:w="100"/>
            </w:tcMar>
          </w:tcPr>
          <w:p>
            <w:r>
              <w:rPr>
                <w:b/>
                <w:bCs/>
                <w:sz w:val="20"/>
                <w:szCs w:val="20"/>
              </w:rPr>
              <w:t xml:space="preserve">Auslösendes Ereignis</w:t>
            </w:r>
          </w:p>
        </w:tc>
        <w:tc>
          <w:tcPr>
            <w:tcMar>
              <w:top w:type="dxa" w:w="60"/>
              <w:left w:type="dxa" w:w="100"/>
              <w:bottom w:type="dxa" w:w="60"/>
              <w:right w:type="dxa" w:w="100"/>
            </w:tcMar>
          </w:tcPr>
          <w:p>
            <w:r>
              <w:rPr>
                <w:b/>
                <w:bCs/>
                <w:sz w:val="20"/>
                <w:szCs w:val="20"/>
              </w:rPr>
              <w:t xml:space="preserve">Frist</w:t>
            </w:r>
          </w:p>
        </w:tc>
        <w:tc>
          <w:tcPr>
            <w:tcMar>
              <w:top w:type="dxa" w:w="60"/>
              <w:left w:type="dxa" w:w="100"/>
              <w:bottom w:type="dxa" w:w="60"/>
              <w:right w:type="dxa" w:w="100"/>
            </w:tcMar>
          </w:tcPr>
          <w:p>
            <w:r>
              <w:rPr>
                <w:b/>
                <w:bCs/>
                <w:sz w:val="20"/>
                <w:szCs w:val="20"/>
              </w:rPr>
              <w:t xml:space="preserve">Rechtsgrundlage</w:t>
            </w:r>
          </w:p>
        </w:tc>
        <w:tc>
          <w:tcPr>
            <w:tcMar>
              <w:top w:type="dxa" w:w="60"/>
              <w:left w:type="dxa" w:w="100"/>
              <w:bottom w:type="dxa" w:w="60"/>
              <w:right w:type="dxa" w:w="100"/>
            </w:tcMar>
          </w:tcPr>
          <w:p>
            <w:r>
              <w:rPr>
                <w:b/>
                <w:bCs/>
                <w:sz w:val="20"/>
                <w:szCs w:val="20"/>
              </w:rPr>
              <w:t xml:space="preserve">Verantwortlich</w:t>
            </w:r>
          </w:p>
        </w:tc>
      </w:tr>
      <w:tr>
        <w:tc>
          <w:tcPr>
            <w:tcMar>
              <w:top w:type="dxa" w:w="60"/>
              <w:left w:type="dxa" w:w="100"/>
              <w:bottom w:type="dxa" w:w="60"/>
              <w:right w:type="dxa" w:w="100"/>
            </w:tcMar>
          </w:tcPr>
          <w:p>
            <w:r>
              <w:rPr>
                <w:b w:val="false"/>
                <w:bCs w:val="false"/>
                <w:sz w:val="20"/>
                <w:szCs w:val="20"/>
              </w:rPr>
              <w:t xml:space="preserve">__________</w:t>
            </w:r>
          </w:p>
        </w:tc>
        <w:tc>
          <w:tcPr>
            <w:tcMar>
              <w:top w:type="dxa" w:w="60"/>
              <w:left w:type="dxa" w:w="100"/>
              <w:bottom w:type="dxa" w:w="60"/>
              <w:right w:type="dxa" w:w="100"/>
            </w:tcMar>
          </w:tcPr>
          <w:p>
            <w:r>
              <w:rPr>
                <w:b w:val="false"/>
                <w:bCs w:val="false"/>
                <w:sz w:val="20"/>
                <w:szCs w:val="20"/>
              </w:rPr>
              <w:t xml:space="preserve">__________</w:t>
            </w:r>
          </w:p>
        </w:tc>
        <w:tc>
          <w:tcPr>
            <w:tcMar>
              <w:top w:type="dxa" w:w="60"/>
              <w:left w:type="dxa" w:w="100"/>
              <w:bottom w:type="dxa" w:w="60"/>
              <w:right w:type="dxa" w:w="100"/>
            </w:tcMar>
          </w:tcPr>
          <w:p>
            <w:r>
              <w:rPr>
                <w:b w:val="false"/>
                <w:bCs w:val="false"/>
                <w:sz w:val="20"/>
                <w:szCs w:val="20"/>
              </w:rPr>
              <w:t xml:space="preserve">__________</w:t>
            </w:r>
          </w:p>
        </w:tc>
        <w:tc>
          <w:tcPr>
            <w:tcMar>
              <w:top w:type="dxa" w:w="60"/>
              <w:left w:type="dxa" w:w="100"/>
              <w:bottom w:type="dxa" w:w="60"/>
              <w:right w:type="dxa" w:w="100"/>
            </w:tcMar>
          </w:tcPr>
          <w:p>
            <w:r>
              <w:rPr>
                <w:b w:val="false"/>
                <w:bCs w:val="false"/>
                <w:sz w:val="20"/>
                <w:szCs w:val="20"/>
              </w:rPr>
              <w:t xml:space="preserve">__________</w:t>
            </w:r>
          </w:p>
        </w:tc>
        <w:tc>
          <w:tcPr>
            <w:tcMar>
              <w:top w:type="dxa" w:w="60"/>
              <w:left w:type="dxa" w:w="100"/>
              <w:bottom w:type="dxa" w:w="60"/>
              <w:right w:type="dxa" w:w="100"/>
            </w:tcMar>
          </w:tcPr>
          <w:p>
            <w:r>
              <w:rPr>
                <w:b w:val="false"/>
                <w:bCs w:val="false"/>
                <w:sz w:val="20"/>
                <w:szCs w:val="20"/>
              </w:rPr>
              <w:t xml:space="preserve">__________</w:t>
            </w:r>
          </w:p>
        </w:tc>
      </w:tr>
      <w:tr>
        <w:tc>
          <w:tcPr>
            <w:tcMar>
              <w:top w:type="dxa" w:w="60"/>
              <w:left w:type="dxa" w:w="100"/>
              <w:bottom w:type="dxa" w:w="60"/>
              <w:right w:type="dxa" w:w="100"/>
            </w:tcMar>
          </w:tcPr>
          <w:p>
            <w:r>
              <w:rPr>
                <w:b w:val="false"/>
                <w:bCs w:val="false"/>
                <w:sz w:val="20"/>
                <w:szCs w:val="20"/>
              </w:rPr>
              <w:t xml:space="preserve">__________</w:t>
            </w:r>
          </w:p>
        </w:tc>
        <w:tc>
          <w:tcPr>
            <w:tcMar>
              <w:top w:type="dxa" w:w="60"/>
              <w:left w:type="dxa" w:w="100"/>
              <w:bottom w:type="dxa" w:w="60"/>
              <w:right w:type="dxa" w:w="100"/>
            </w:tcMar>
          </w:tcPr>
          <w:p>
            <w:r>
              <w:rPr>
                <w:b w:val="false"/>
                <w:bCs w:val="false"/>
                <w:sz w:val="20"/>
                <w:szCs w:val="20"/>
              </w:rPr>
              <w:t xml:space="preserve">__________</w:t>
            </w:r>
          </w:p>
        </w:tc>
        <w:tc>
          <w:tcPr>
            <w:tcMar>
              <w:top w:type="dxa" w:w="60"/>
              <w:left w:type="dxa" w:w="100"/>
              <w:bottom w:type="dxa" w:w="60"/>
              <w:right w:type="dxa" w:w="100"/>
            </w:tcMar>
          </w:tcPr>
          <w:p>
            <w:r>
              <w:rPr>
                <w:b w:val="false"/>
                <w:bCs w:val="false"/>
                <w:sz w:val="20"/>
                <w:szCs w:val="20"/>
              </w:rPr>
              <w:t xml:space="preserve">__________</w:t>
            </w:r>
          </w:p>
        </w:tc>
        <w:tc>
          <w:tcPr>
            <w:tcMar>
              <w:top w:type="dxa" w:w="60"/>
              <w:left w:type="dxa" w:w="100"/>
              <w:bottom w:type="dxa" w:w="60"/>
              <w:right w:type="dxa" w:w="100"/>
            </w:tcMar>
          </w:tcPr>
          <w:p>
            <w:r>
              <w:rPr>
                <w:b w:val="false"/>
                <w:bCs w:val="false"/>
                <w:sz w:val="20"/>
                <w:szCs w:val="20"/>
              </w:rPr>
              <w:t xml:space="preserve">__________</w:t>
            </w:r>
          </w:p>
        </w:tc>
        <w:tc>
          <w:tcPr>
            <w:tcMar>
              <w:top w:type="dxa" w:w="60"/>
              <w:left w:type="dxa" w:w="100"/>
              <w:bottom w:type="dxa" w:w="60"/>
              <w:right w:type="dxa" w:w="100"/>
            </w:tcMar>
          </w:tcPr>
          <w:p>
            <w:r>
              <w:rPr>
                <w:b w:val="false"/>
                <w:bCs w:val="false"/>
                <w:sz w:val="20"/>
                <w:szCs w:val="20"/>
              </w:rPr>
              <w:t xml:space="preserve">__________</w:t>
            </w:r>
          </w:p>
        </w:tc>
      </w:tr>
    </w:tbl>
    <w:p>
      <w:pPr>
        <w:spacing w:after="120"/>
      </w:pPr>
    </w:p>
    <w:p>
      <w:pPr>
        <w:spacing w:after="100" w:before="200"/>
      </w:pPr>
      <w:r>
        <w:rPr>
          <w:b/>
          <w:bCs/>
        </w:rPr>
        <w:t xml:space="preserve">Teil 3 — Einschränken statt löschen</w:t>
      </w:r>
    </w:p>
    <w:p>
      <w:pPr>
        <w:spacing w:after="140" w:before="0"/>
      </w:pPr>
      <w:r>
        <w:t xml:space="preserve">Zwischen laufender Nutzung und Löschung liegt ein dritter Zustand: die Einschränkung der Verarbeitung nach Art. 18 DSGVO. Eingeschränkte Daten werden gespeichert, aber außer zur Speicherung nur noch in engen Ausnahmen verarbeitet, etwa zur Geltendmachung von Rechtsansprüchen. Für Stammdaten zwischen Austritt und Ablauf der Verjährung ist das der richtige Zustand.</w:t>
      </w:r>
    </w:p>
    <w:p>
      <w:pPr>
        <w:spacing w:after="140" w:before="0"/>
      </w:pPr>
      <w:r>
        <w:t xml:space="preserve">So setzen Sie das um:</w:t>
      </w:r>
    </w:p>
    <w:p>
      <w:pPr>
        <w:spacing w:after="80"/>
        <w:ind w:left="220"/>
      </w:pPr>
      <w:r>
        <w:t xml:space="preserve">[   ]  </w:t>
      </w:r>
      <w:r>
        <w:t xml:space="preserve">Der Datensatz verlässt alle Arbeitslisten: Verteiler, Geburtstagsliste, Einladungen.</w:t>
      </w:r>
    </w:p>
    <w:p>
      <w:pPr>
        <w:spacing w:after="80"/>
        <w:ind w:left="220"/>
      </w:pPr>
      <w:r>
        <w:t xml:space="preserve">[   ]  </w:t>
      </w:r>
      <w:r>
        <w:t xml:space="preserve">Der Datensatz geht in keine Auswertung mehr ein (Altersstruktur, Statistik, Meldungen an den Verband).</w:t>
      </w:r>
    </w:p>
    <w:p>
      <w:pPr>
        <w:spacing w:after="80"/>
        <w:ind w:left="220"/>
      </w:pPr>
      <w:r>
        <w:t xml:space="preserve">[   ]  </w:t>
      </w:r>
      <w:r>
        <w:t xml:space="preserve">Der Kreis der Zugriffsberechtigten wird enger gefasst und schriftlich festgehalten.</w:t>
      </w:r>
    </w:p>
    <w:p>
      <w:pPr>
        <w:spacing w:after="80"/>
        <w:ind w:left="220"/>
      </w:pPr>
      <w:r>
        <w:t xml:space="preserve">[   ]  </w:t>
      </w:r>
      <w:r>
        <w:t xml:space="preserve">Ein Vereinsarchiv wird als Archiv geführt, nicht als zweite Adressdatei — eine Jubiläumseinladung an ehemalige Mitglieder braucht einen eigenen, tragfähigen Grund.</w:t>
      </w:r>
    </w:p>
    <w:p>
      <w:pPr>
        <w:spacing w:after="100" w:before="200"/>
      </w:pPr>
      <w:r>
        <w:rPr>
          <w:b/>
          <w:bCs/>
        </w:rPr>
        <w:t xml:space="preserve">Teil 4 — Löschprotokoll</w:t>
      </w:r>
    </w:p>
    <w:p>
      <w:pPr>
        <w:spacing w:after="140" w:before="0"/>
      </w:pPr>
      <w:r>
        <w:t xml:space="preserve">Der Nachweis, dass gelöscht wurde, gehört zur Rechenschaftspflicht. Halten Sie jede Durchführung fest: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tcMar>
              <w:top w:type="dxa" w:w="60"/>
              <w:left w:type="dxa" w:w="100"/>
              <w:bottom w:type="dxa" w:w="60"/>
              <w:right w:type="dxa" w:w="100"/>
            </w:tcMar>
          </w:tcPr>
          <w:p>
            <w:r>
              <w:rPr>
                <w:b/>
                <w:bCs/>
                <w:sz w:val="20"/>
                <w:szCs w:val="20"/>
              </w:rPr>
              <w:t xml:space="preserve">Datum</w:t>
            </w:r>
          </w:p>
        </w:tc>
        <w:tc>
          <w:tcPr>
            <w:tcMar>
              <w:top w:type="dxa" w:w="60"/>
              <w:left w:type="dxa" w:w="100"/>
              <w:bottom w:type="dxa" w:w="60"/>
              <w:right w:type="dxa" w:w="100"/>
            </w:tcMar>
          </w:tcPr>
          <w:p>
            <w:r>
              <w:rPr>
                <w:b/>
                <w:bCs/>
                <w:sz w:val="20"/>
                <w:szCs w:val="20"/>
              </w:rPr>
              <w:t xml:space="preserve">Datenart</w:t>
            </w:r>
          </w:p>
        </w:tc>
        <w:tc>
          <w:tcPr>
            <w:tcMar>
              <w:top w:type="dxa" w:w="60"/>
              <w:left w:type="dxa" w:w="100"/>
              <w:bottom w:type="dxa" w:w="60"/>
              <w:right w:type="dxa" w:w="100"/>
            </w:tcMar>
          </w:tcPr>
          <w:p>
            <w:r>
              <w:rPr>
                <w:b/>
                <w:bCs/>
                <w:sz w:val="20"/>
                <w:szCs w:val="20"/>
              </w:rPr>
              <w:t xml:space="preserve">Umfang (Anzahl, Zeitraum)</w:t>
            </w:r>
          </w:p>
        </w:tc>
        <w:tc>
          <w:tcPr>
            <w:tcMar>
              <w:top w:type="dxa" w:w="60"/>
              <w:left w:type="dxa" w:w="100"/>
              <w:bottom w:type="dxa" w:w="60"/>
              <w:right w:type="dxa" w:w="100"/>
            </w:tcMar>
          </w:tcPr>
          <w:p>
            <w:r>
              <w:rPr>
                <w:b/>
                <w:bCs/>
                <w:sz w:val="20"/>
                <w:szCs w:val="20"/>
              </w:rPr>
              <w:t xml:space="preserve">Grundlage</w:t>
            </w:r>
          </w:p>
        </w:tc>
        <w:tc>
          <w:tcPr>
            <w:tcMar>
              <w:top w:type="dxa" w:w="60"/>
              <w:left w:type="dxa" w:w="100"/>
              <w:bottom w:type="dxa" w:w="60"/>
              <w:right w:type="dxa" w:w="100"/>
            </w:tcMar>
          </w:tcPr>
          <w:p>
            <w:r>
              <w:rPr>
                <w:b/>
                <w:bCs/>
                <w:sz w:val="20"/>
                <w:szCs w:val="20"/>
              </w:rPr>
              <w:t xml:space="preserve">Durchgeführt von</w:t>
            </w:r>
          </w:p>
        </w:tc>
      </w:tr>
      <w:tr>
        <w:tc>
          <w:tcPr>
            <w:tcMar>
              <w:top w:type="dxa" w:w="60"/>
              <w:left w:type="dxa" w:w="100"/>
              <w:bottom w:type="dxa" w:w="60"/>
              <w:right w:type="dxa" w:w="100"/>
            </w:tcMar>
          </w:tcPr>
          <w:p>
            <w:r>
              <w:rPr>
                <w:b w:val="false"/>
                <w:bCs w:val="false"/>
                <w:sz w:val="20"/>
                <w:szCs w:val="20"/>
              </w:rPr>
              <w:t xml:space="preserve">__________</w:t>
            </w:r>
          </w:p>
        </w:tc>
        <w:tc>
          <w:tcPr>
            <w:tcMar>
              <w:top w:type="dxa" w:w="60"/>
              <w:left w:type="dxa" w:w="100"/>
              <w:bottom w:type="dxa" w:w="60"/>
              <w:right w:type="dxa" w:w="100"/>
            </w:tcMar>
          </w:tcPr>
          <w:p>
            <w:r>
              <w:rPr>
                <w:b w:val="false"/>
                <w:bCs w:val="false"/>
                <w:sz w:val="20"/>
                <w:szCs w:val="20"/>
              </w:rPr>
              <w:t xml:space="preserve">__________</w:t>
            </w:r>
          </w:p>
        </w:tc>
        <w:tc>
          <w:tcPr>
            <w:tcMar>
              <w:top w:type="dxa" w:w="60"/>
              <w:left w:type="dxa" w:w="100"/>
              <w:bottom w:type="dxa" w:w="60"/>
              <w:right w:type="dxa" w:w="100"/>
            </w:tcMar>
          </w:tcPr>
          <w:p>
            <w:r>
              <w:rPr>
                <w:b w:val="false"/>
                <w:bCs w:val="false"/>
                <w:sz w:val="20"/>
                <w:szCs w:val="20"/>
              </w:rPr>
              <w:t xml:space="preserve">__________</w:t>
            </w:r>
          </w:p>
        </w:tc>
        <w:tc>
          <w:tcPr>
            <w:tcMar>
              <w:top w:type="dxa" w:w="60"/>
              <w:left w:type="dxa" w:w="100"/>
              <w:bottom w:type="dxa" w:w="60"/>
              <w:right w:type="dxa" w:w="100"/>
            </w:tcMar>
          </w:tcPr>
          <w:p>
            <w:r>
              <w:rPr>
                <w:b w:val="false"/>
                <w:bCs w:val="false"/>
                <w:sz w:val="20"/>
                <w:szCs w:val="20"/>
              </w:rPr>
              <w:t xml:space="preserve">__________</w:t>
            </w:r>
          </w:p>
        </w:tc>
        <w:tc>
          <w:tcPr>
            <w:tcMar>
              <w:top w:type="dxa" w:w="60"/>
              <w:left w:type="dxa" w:w="100"/>
              <w:bottom w:type="dxa" w:w="60"/>
              <w:right w:type="dxa" w:w="100"/>
            </w:tcMar>
          </w:tcPr>
          <w:p>
            <w:r>
              <w:rPr>
                <w:b w:val="false"/>
                <w:bCs w:val="false"/>
                <w:sz w:val="20"/>
                <w:szCs w:val="20"/>
              </w:rPr>
              <w:t xml:space="preserve">__________</w:t>
            </w:r>
          </w:p>
        </w:tc>
      </w:tr>
      <w:tr>
        <w:tc>
          <w:tcPr>
            <w:tcMar>
              <w:top w:type="dxa" w:w="60"/>
              <w:left w:type="dxa" w:w="100"/>
              <w:bottom w:type="dxa" w:w="60"/>
              <w:right w:type="dxa" w:w="100"/>
            </w:tcMar>
          </w:tcPr>
          <w:p>
            <w:r>
              <w:rPr>
                <w:b w:val="false"/>
                <w:bCs w:val="false"/>
                <w:sz w:val="20"/>
                <w:szCs w:val="20"/>
              </w:rPr>
              <w:t xml:space="preserve">__________</w:t>
            </w:r>
          </w:p>
        </w:tc>
        <w:tc>
          <w:tcPr>
            <w:tcMar>
              <w:top w:type="dxa" w:w="60"/>
              <w:left w:type="dxa" w:w="100"/>
              <w:bottom w:type="dxa" w:w="60"/>
              <w:right w:type="dxa" w:w="100"/>
            </w:tcMar>
          </w:tcPr>
          <w:p>
            <w:r>
              <w:rPr>
                <w:b w:val="false"/>
                <w:bCs w:val="false"/>
                <w:sz w:val="20"/>
                <w:szCs w:val="20"/>
              </w:rPr>
              <w:t xml:space="preserve">__________</w:t>
            </w:r>
          </w:p>
        </w:tc>
        <w:tc>
          <w:tcPr>
            <w:tcMar>
              <w:top w:type="dxa" w:w="60"/>
              <w:left w:type="dxa" w:w="100"/>
              <w:bottom w:type="dxa" w:w="60"/>
              <w:right w:type="dxa" w:w="100"/>
            </w:tcMar>
          </w:tcPr>
          <w:p>
            <w:r>
              <w:rPr>
                <w:b w:val="false"/>
                <w:bCs w:val="false"/>
                <w:sz w:val="20"/>
                <w:szCs w:val="20"/>
              </w:rPr>
              <w:t xml:space="preserve">__________</w:t>
            </w:r>
          </w:p>
        </w:tc>
        <w:tc>
          <w:tcPr>
            <w:tcMar>
              <w:top w:type="dxa" w:w="60"/>
              <w:left w:type="dxa" w:w="100"/>
              <w:bottom w:type="dxa" w:w="60"/>
              <w:right w:type="dxa" w:w="100"/>
            </w:tcMar>
          </w:tcPr>
          <w:p>
            <w:r>
              <w:rPr>
                <w:b w:val="false"/>
                <w:bCs w:val="false"/>
                <w:sz w:val="20"/>
                <w:szCs w:val="20"/>
              </w:rPr>
              <w:t xml:space="preserve">__________</w:t>
            </w:r>
          </w:p>
        </w:tc>
        <w:tc>
          <w:tcPr>
            <w:tcMar>
              <w:top w:type="dxa" w:w="60"/>
              <w:left w:type="dxa" w:w="100"/>
              <w:bottom w:type="dxa" w:w="60"/>
              <w:right w:type="dxa" w:w="100"/>
            </w:tcMar>
          </w:tcPr>
          <w:p>
            <w:r>
              <w:rPr>
                <w:b w:val="false"/>
                <w:bCs w:val="false"/>
                <w:sz w:val="20"/>
                <w:szCs w:val="20"/>
              </w:rPr>
              <w:t xml:space="preserve">__________</w:t>
            </w:r>
          </w:p>
        </w:tc>
      </w:tr>
      <w:tr>
        <w:tc>
          <w:tcPr>
            <w:tcMar>
              <w:top w:type="dxa" w:w="60"/>
              <w:left w:type="dxa" w:w="100"/>
              <w:bottom w:type="dxa" w:w="60"/>
              <w:right w:type="dxa" w:w="100"/>
            </w:tcMar>
          </w:tcPr>
          <w:p>
            <w:r>
              <w:rPr>
                <w:b w:val="false"/>
                <w:bCs w:val="false"/>
                <w:sz w:val="20"/>
                <w:szCs w:val="20"/>
              </w:rPr>
              <w:t xml:space="preserve">__________</w:t>
            </w:r>
          </w:p>
        </w:tc>
        <w:tc>
          <w:tcPr>
            <w:tcMar>
              <w:top w:type="dxa" w:w="60"/>
              <w:left w:type="dxa" w:w="100"/>
              <w:bottom w:type="dxa" w:w="60"/>
              <w:right w:type="dxa" w:w="100"/>
            </w:tcMar>
          </w:tcPr>
          <w:p>
            <w:r>
              <w:rPr>
                <w:b w:val="false"/>
                <w:bCs w:val="false"/>
                <w:sz w:val="20"/>
                <w:szCs w:val="20"/>
              </w:rPr>
              <w:t xml:space="preserve">__________</w:t>
            </w:r>
          </w:p>
        </w:tc>
        <w:tc>
          <w:tcPr>
            <w:tcMar>
              <w:top w:type="dxa" w:w="60"/>
              <w:left w:type="dxa" w:w="100"/>
              <w:bottom w:type="dxa" w:w="60"/>
              <w:right w:type="dxa" w:w="100"/>
            </w:tcMar>
          </w:tcPr>
          <w:p>
            <w:r>
              <w:rPr>
                <w:b w:val="false"/>
                <w:bCs w:val="false"/>
                <w:sz w:val="20"/>
                <w:szCs w:val="20"/>
              </w:rPr>
              <w:t xml:space="preserve">__________</w:t>
            </w:r>
          </w:p>
        </w:tc>
        <w:tc>
          <w:tcPr>
            <w:tcMar>
              <w:top w:type="dxa" w:w="60"/>
              <w:left w:type="dxa" w:w="100"/>
              <w:bottom w:type="dxa" w:w="60"/>
              <w:right w:type="dxa" w:w="100"/>
            </w:tcMar>
          </w:tcPr>
          <w:p>
            <w:r>
              <w:rPr>
                <w:b w:val="false"/>
                <w:bCs w:val="false"/>
                <w:sz w:val="20"/>
                <w:szCs w:val="20"/>
              </w:rPr>
              <w:t xml:space="preserve">__________</w:t>
            </w:r>
          </w:p>
        </w:tc>
        <w:tc>
          <w:tcPr>
            <w:tcMar>
              <w:top w:type="dxa" w:w="60"/>
              <w:left w:type="dxa" w:w="100"/>
              <w:bottom w:type="dxa" w:w="60"/>
              <w:right w:type="dxa" w:w="100"/>
            </w:tcMar>
          </w:tcPr>
          <w:p>
            <w:r>
              <w:rPr>
                <w:b w:val="false"/>
                <w:bCs w:val="false"/>
                <w:sz w:val="20"/>
                <w:szCs w:val="20"/>
              </w:rPr>
              <w:t xml:space="preserve">__________</w:t>
            </w:r>
          </w:p>
        </w:tc>
      </w:tr>
      <w:tr>
        <w:tc>
          <w:tcPr>
            <w:tcMar>
              <w:top w:type="dxa" w:w="60"/>
              <w:left w:type="dxa" w:w="100"/>
              <w:bottom w:type="dxa" w:w="60"/>
              <w:right w:type="dxa" w:w="100"/>
            </w:tcMar>
          </w:tcPr>
          <w:p>
            <w:r>
              <w:rPr>
                <w:b w:val="false"/>
                <w:bCs w:val="false"/>
                <w:sz w:val="20"/>
                <w:szCs w:val="20"/>
              </w:rPr>
              <w:t xml:space="preserve">__________</w:t>
            </w:r>
          </w:p>
        </w:tc>
        <w:tc>
          <w:tcPr>
            <w:tcMar>
              <w:top w:type="dxa" w:w="60"/>
              <w:left w:type="dxa" w:w="100"/>
              <w:bottom w:type="dxa" w:w="60"/>
              <w:right w:type="dxa" w:w="100"/>
            </w:tcMar>
          </w:tcPr>
          <w:p>
            <w:r>
              <w:rPr>
                <w:b w:val="false"/>
                <w:bCs w:val="false"/>
                <w:sz w:val="20"/>
                <w:szCs w:val="20"/>
              </w:rPr>
              <w:t xml:space="preserve">__________</w:t>
            </w:r>
          </w:p>
        </w:tc>
        <w:tc>
          <w:tcPr>
            <w:tcMar>
              <w:top w:type="dxa" w:w="60"/>
              <w:left w:type="dxa" w:w="100"/>
              <w:bottom w:type="dxa" w:w="60"/>
              <w:right w:type="dxa" w:w="100"/>
            </w:tcMar>
          </w:tcPr>
          <w:p>
            <w:r>
              <w:rPr>
                <w:b w:val="false"/>
                <w:bCs w:val="false"/>
                <w:sz w:val="20"/>
                <w:szCs w:val="20"/>
              </w:rPr>
              <w:t xml:space="preserve">__________</w:t>
            </w:r>
          </w:p>
        </w:tc>
        <w:tc>
          <w:tcPr>
            <w:tcMar>
              <w:top w:type="dxa" w:w="60"/>
              <w:left w:type="dxa" w:w="100"/>
              <w:bottom w:type="dxa" w:w="60"/>
              <w:right w:type="dxa" w:w="100"/>
            </w:tcMar>
          </w:tcPr>
          <w:p>
            <w:r>
              <w:rPr>
                <w:b w:val="false"/>
                <w:bCs w:val="false"/>
                <w:sz w:val="20"/>
                <w:szCs w:val="20"/>
              </w:rPr>
              <w:t xml:space="preserve">__________</w:t>
            </w:r>
          </w:p>
        </w:tc>
        <w:tc>
          <w:tcPr>
            <w:tcMar>
              <w:top w:type="dxa" w:w="60"/>
              <w:left w:type="dxa" w:w="100"/>
              <w:bottom w:type="dxa" w:w="60"/>
              <w:right w:type="dxa" w:w="100"/>
            </w:tcMar>
          </w:tcPr>
          <w:p>
            <w:r>
              <w:rPr>
                <w:b w:val="false"/>
                <w:bCs w:val="false"/>
                <w:sz w:val="20"/>
                <w:szCs w:val="20"/>
              </w:rPr>
              <w:t xml:space="preserve">__________</w:t>
            </w:r>
          </w:p>
        </w:tc>
      </w:tr>
    </w:tbl>
    <w:p>
      <w:pPr>
        <w:spacing w:after="120"/>
      </w:pPr>
    </w:p>
    <w:p>
      <w:pPr>
        <w:spacing w:after="100" w:before="200"/>
      </w:pPr>
      <w:r>
        <w:rPr>
          <w:b/>
          <w:bCs/>
          <w:i/>
          <w:iCs/>
          <w:color w:val="595959"/>
          <w:sz w:val="18"/>
          <w:szCs w:val="18"/>
        </w:rPr>
        <w:t xml:space="preserve">Hinweis zur Verwendung</w:t>
      </w:r>
    </w:p>
    <w:p>
      <w:pPr>
        <w:spacing w:after="140" w:before="0"/>
      </w:pPr>
      <w:r>
        <w:t xml:space="preserve">Diese Vorlage ist ein Ausgangspunkt für die eigene Festlegung und ersetzt keine Rechtsberatung. Prüfen Sie die Fristen gegen Ihre Satzung, Ihre Beitragsordnung und die Vorgaben Ihres Dachverbands. Bei besonderen Datenkategorien nach Art. 9 DSGVO — etwa Gesundheitsangaben — gelten strengere Anforderungen als in dieser Übersicht abgebildet.</w:t>
      </w:r>
    </w:p>
    <w:sectPr>
      <w:footerReference w:type="default" r:id="rId7"/>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08080"/>
        <w:sz w:val="16"/>
        <w:szCs w:val="16"/>
      </w:rPr>
      <w:t xml:space="preserve">Muster-Vorlage von Bundaris · bundaris.de/ratgeber — Formulierungshilfe, keine Rechtsberatung.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Lösch- und Aufbewahrungskonzept für Vereine</dc:title>
  <dc:creator>Bundaris</dc:creator>
  <dc:description>Muster-Vorlage aus dem Bundaris-Ratgeber. Formulierungshilfe, keine Rechtsberatung.</dc:description>
  <cp:lastModifiedBy>Un-named</cp:lastModifiedBy>
  <cp:revision>1</cp:revision>
  <dcterms:created xsi:type="dcterms:W3CDTF">2026-08-30T11:24:27.703Z</dcterms:created>
  <dcterms:modified xsi:type="dcterms:W3CDTF">2026-08-30T11:24:27.703Z</dcterms:modified>
</cp:coreProperties>
</file>

<file path=docProps/custom.xml><?xml version="1.0" encoding="utf-8"?>
<Properties xmlns="http://schemas.openxmlformats.org/officeDocument/2006/custom-properties" xmlns:vt="http://schemas.openxmlformats.org/officeDocument/2006/docPropsVTypes"/>
</file>