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rPr>
          <w:b/>
          <w:bCs/>
          <w:sz w:val="32"/>
          <w:szCs w:val="32"/>
        </w:rPr>
        <w:t xml:space="preserve">GoBD-Selbst-Check für die Vereinskasse</w:t>
      </w:r>
    </w:p>
    <w:p>
      <w:pPr>
        <w:spacing w:after="140" w:before="0"/>
      </w:pPr>
      <w:r>
        <w:t xml:space="preserve">Prüffragen vor dem Jahresabschluss oder der Kassenprüfung. Bearbeitungsstand: _______________ · Geprüft von: _______________</w:t>
      </w:r>
    </w:p>
    <w:p>
      <w:pPr>
        <w:spacing w:after="100" w:before="200"/>
      </w:pPr>
      <w:r>
        <w:rPr>
          <w:b/>
          <w:bCs/>
        </w:rPr>
        <w:t xml:space="preserve">1. Belege und Nachvollziehbarkeit</w:t>
      </w:r>
    </w:p>
    <w:p>
      <w:pPr>
        <w:spacing w:after="80"/>
        <w:ind w:left="220"/>
      </w:pPr>
      <w:r>
        <w:t xml:space="preserve">[   ]  </w:t>
      </w:r>
      <w:r>
        <w:t xml:space="preserve">Zu jeder Buchung existiert ein Beleg (Rechnung, Quittung, Kontoauszug, Eigenbeleg mit Begründung).</w:t>
      </w:r>
    </w:p>
    <w:p>
      <w:pPr>
        <w:spacing w:after="80"/>
        <w:ind w:left="220"/>
      </w:pPr>
      <w:r>
        <w:t xml:space="preserve">[   ]  </w:t>
      </w:r>
      <w:r>
        <w:t xml:space="preserve">Jeder Beleg trägt eine eindeutige Nummer, über die er aus der Buchung auffindbar ist — und umgekehrt.</w:t>
      </w:r>
    </w:p>
    <w:p>
      <w:pPr>
        <w:spacing w:after="80"/>
        <w:ind w:left="220"/>
      </w:pPr>
      <w:r>
        <w:t xml:space="preserve">[   ]  </w:t>
      </w:r>
      <w:r>
        <w:t xml:space="preserve">Sammelbuchungen sind durch Einzelaufstellungen unterlegt.</w:t>
      </w:r>
    </w:p>
    <w:p>
      <w:pPr>
        <w:spacing w:after="80"/>
        <w:ind w:left="220"/>
      </w:pPr>
      <w:r>
        <w:t xml:space="preserve">[   ]  </w:t>
      </w:r>
      <w:r>
        <w:t xml:space="preserve">Eigenbelege sind die Ausnahme und tragen jeweils eine Begründung.</w:t>
      </w:r>
    </w:p>
    <w:p>
      <w:pPr>
        <w:spacing w:after="100" w:before="200"/>
      </w:pPr>
      <w:r>
        <w:rPr>
          <w:b/>
          <w:bCs/>
        </w:rPr>
        <w:t xml:space="preserve">2. Zeitgerechte Erfassung</w:t>
      </w:r>
    </w:p>
    <w:p>
      <w:pPr>
        <w:spacing w:after="80"/>
        <w:ind w:left="220"/>
      </w:pPr>
      <w:r>
        <w:t xml:space="preserve">[   ]  </w:t>
      </w:r>
      <w:r>
        <w:t xml:space="preserve">Bare Einnahmen und Ausgaben werden täglich festgehalten.</w:t>
      </w:r>
    </w:p>
    <w:p>
      <w:pPr>
        <w:spacing w:after="80"/>
        <w:ind w:left="220"/>
      </w:pPr>
      <w:r>
        <w:t xml:space="preserve">[   ]  </w:t>
      </w:r>
      <w:r>
        <w:t xml:space="preserve">Unbare Vorgänge werden zeitnah erfasst, spätestens im Folgemonat.</w:t>
      </w:r>
    </w:p>
    <w:p>
      <w:pPr>
        <w:spacing w:after="80"/>
        <w:ind w:left="220"/>
      </w:pPr>
      <w:r>
        <w:t xml:space="preserve">[   ]  </w:t>
      </w:r>
      <w:r>
        <w:t xml:space="preserve">Es gibt keinen Zeitraum, in dem Belege ungebucht liegen bleiben.</w:t>
      </w:r>
    </w:p>
    <w:p>
      <w:pPr>
        <w:spacing w:after="100" w:before="200"/>
      </w:pPr>
      <w:r>
        <w:rPr>
          <w:b/>
          <w:bCs/>
        </w:rPr>
        <w:t xml:space="preserve">3. Unveränderbarkeit</w:t>
      </w:r>
    </w:p>
    <w:p>
      <w:pPr>
        <w:spacing w:after="80"/>
        <w:ind w:left="220"/>
      </w:pPr>
      <w:r>
        <w:t xml:space="preserve">[   ]  </w:t>
      </w:r>
      <w:r>
        <w:t xml:space="preserve">Abgeschlossene Perioden sind festgeschrieben und können nicht mehr geändert werden.</w:t>
      </w:r>
    </w:p>
    <w:p>
      <w:pPr>
        <w:spacing w:after="80"/>
        <w:ind w:left="220"/>
      </w:pPr>
      <w:r>
        <w:t xml:space="preserve">[   ]  </w:t>
      </w:r>
      <w:r>
        <w:t xml:space="preserve">Korrekturen erfolgen ausschließlich als Stornobuchung, nie durch Überschreiben oder Löschen.</w:t>
      </w:r>
    </w:p>
    <w:p>
      <w:pPr>
        <w:spacing w:after="80"/>
        <w:ind w:left="220"/>
      </w:pPr>
      <w:r>
        <w:t xml:space="preserve">[   ]  </w:t>
      </w:r>
      <w:r>
        <w:t xml:space="preserve">Zu jedem Storno ist ein Grund erfasst.</w:t>
      </w:r>
    </w:p>
    <w:p>
      <w:pPr>
        <w:spacing w:after="80"/>
        <w:ind w:left="220"/>
      </w:pPr>
      <w:r>
        <w:t xml:space="preserve">[   ]  </w:t>
      </w:r>
      <w:r>
        <w:t xml:space="preserve">Test: Eine Buchung anlegen, festschreiben, stornieren — die Jahresübersicht weist danach null aus, nicht das Doppelte.</w:t>
      </w:r>
    </w:p>
    <w:p>
      <w:pPr>
        <w:spacing w:after="100" w:before="200"/>
      </w:pPr>
      <w:r>
        <w:rPr>
          <w:b/>
          <w:bCs/>
        </w:rPr>
        <w:t xml:space="preserve">4. Kasse</w:t>
      </w:r>
    </w:p>
    <w:p>
      <w:pPr>
        <w:spacing w:after="80"/>
        <w:ind w:left="220"/>
      </w:pPr>
      <w:r>
        <w:t xml:space="preserve">[   ]  </w:t>
      </w:r>
      <w:r>
        <w:t xml:space="preserve">Der Kassenbestand ist jederzeit rechnerisch ermittelbar.</w:t>
      </w:r>
    </w:p>
    <w:p>
      <w:pPr>
        <w:spacing w:after="80"/>
        <w:ind w:left="220"/>
      </w:pPr>
      <w:r>
        <w:t xml:space="preserve">[   ]  </w:t>
      </w:r>
      <w:r>
        <w:t xml:space="preserve">Der tatsächliche Bestand wird regelmäßig gezählt und mit dem rechnerischen abgeglichen (Kassensturz), Differenzen werden dokumentiert.</w:t>
      </w:r>
    </w:p>
    <w:p>
      <w:pPr>
        <w:spacing w:after="80"/>
        <w:ind w:left="220"/>
      </w:pPr>
      <w:r>
        <w:t xml:space="preserve">[   ]  </w:t>
      </w:r>
      <w:r>
        <w:t xml:space="preserve">Private Vorlagen und Auslagen laufen nicht über die Barkasse, ohne belegt zu sein.</w:t>
      </w:r>
    </w:p>
    <w:p>
      <w:pPr>
        <w:spacing w:after="100" w:before="200"/>
      </w:pPr>
      <w:r>
        <w:rPr>
          <w:b/>
          <w:bCs/>
        </w:rPr>
        <w:t xml:space="preserve">5. Aufbewahrung</w:t>
      </w:r>
    </w:p>
    <w:p>
      <w:pPr>
        <w:spacing w:after="80"/>
        <w:ind w:left="220"/>
      </w:pPr>
      <w:r>
        <w:t xml:space="preserve">[   ]  </w:t>
      </w:r>
      <w:r>
        <w:t xml:space="preserve">Buchungsbelege sind acht Jahre verfügbar, Bücher und Jahresabschlüsse zehn Jahre, übrige Unterlagen sechs Jahre.</w:t>
      </w:r>
    </w:p>
    <w:p>
      <w:pPr>
        <w:spacing w:after="80"/>
        <w:ind w:left="220"/>
      </w:pPr>
      <w:r>
        <w:t xml:space="preserve">[   ]  </w:t>
      </w:r>
      <w:r>
        <w:t xml:space="preserve">Elektronische Rechnungen liegen im strukturierten Originalformat vor, nicht nur als Ausdruck.</w:t>
      </w:r>
    </w:p>
    <w:p>
      <w:pPr>
        <w:spacing w:after="80"/>
        <w:ind w:left="220"/>
      </w:pPr>
      <w:r>
        <w:t xml:space="preserve">[   ]  </w:t>
      </w:r>
      <w:r>
        <w:t xml:space="preserve">Die Ablage ist gegen Verlust gesichert, und der Zugriff ist über die gesamte Frist gewährleistet.</w:t>
      </w:r>
    </w:p>
    <w:p>
      <w:pPr>
        <w:spacing w:after="80"/>
        <w:ind w:left="220"/>
      </w:pPr>
      <w:r>
        <w:t xml:space="preserve">[   ]  </w:t>
      </w:r>
      <w:r>
        <w:t xml:space="preserve">Nichts wird vernichtet, solange eine Prüfung oder ein Einspruch läuft.</w:t>
      </w:r>
    </w:p>
    <w:p>
      <w:pPr>
        <w:spacing w:after="100" w:before="200"/>
      </w:pPr>
      <w:r>
        <w:rPr>
          <w:b/>
          <w:bCs/>
        </w:rPr>
        <w:t xml:space="preserve">6. Verfahrensdokumentation</w:t>
      </w:r>
    </w:p>
    <w:p>
      <w:pPr>
        <w:spacing w:after="80"/>
        <w:ind w:left="220"/>
      </w:pPr>
      <w:r>
        <w:t xml:space="preserve">[   ]  </w:t>
      </w:r>
      <w:r>
        <w:t xml:space="preserve">Eine Verfahrensdokumentation existiert und beschreibt den tatsächlichen Ablauf.</w:t>
      </w:r>
    </w:p>
    <w:p>
      <w:pPr>
        <w:spacing w:after="80"/>
        <w:ind w:left="220"/>
      </w:pPr>
      <w:r>
        <w:t xml:space="preserve">[   ]  </w:t>
      </w:r>
      <w:r>
        <w:t xml:space="preserve">Sie wurde nach der letzten Änderung an Abläufen oder Software fortgeschrieben.</w:t>
      </w:r>
    </w:p>
    <w:p>
      <w:pPr>
        <w:spacing w:after="80"/>
        <w:ind w:left="220"/>
      </w:pPr>
      <w:r>
        <w:t xml:space="preserve">[   ]  </w:t>
      </w:r>
      <w:r>
        <w:t xml:space="preserve">Zuständigkeiten und Vertretung sind darin benannt.</w:t>
      </w:r>
    </w:p>
    <w:p>
      <w:pPr>
        <w:spacing w:after="100" w:before="200"/>
      </w:pPr>
      <w:r>
        <w:rPr>
          <w:b/>
          <w:bCs/>
        </w:rPr>
        <w:t xml:space="preserve">7. Zugriff und Trennung</w:t>
      </w:r>
    </w:p>
    <w:p>
      <w:pPr>
        <w:spacing w:after="80"/>
        <w:ind w:left="220"/>
      </w:pPr>
      <w:r>
        <w:t xml:space="preserve">[   ]  </w:t>
      </w:r>
      <w:r>
        <w:t xml:space="preserve">Nur benannte Personen haben Zugriff auf die Buchhaltung.</w:t>
      </w:r>
    </w:p>
    <w:p>
      <w:pPr>
        <w:spacing w:after="80"/>
        <w:ind w:left="220"/>
      </w:pPr>
      <w:r>
        <w:t xml:space="preserve">[   ]  </w:t>
      </w:r>
      <w:r>
        <w:t xml:space="preserve">Beim Wechsel im Amt werden Zugänge übergeben und alte Zugänge geschlossen.</w:t>
      </w:r>
    </w:p>
    <w:p>
      <w:pPr>
        <w:spacing w:after="80"/>
        <w:ind w:left="220"/>
      </w:pPr>
      <w:r>
        <w:t xml:space="preserve">[   ]  </w:t>
      </w:r>
      <w:r>
        <w:t xml:space="preserve">Erfassung und Prüfung liegen nach Möglichkeit nicht in einer Hand.</w:t>
      </w:r>
    </w:p>
    <w:p>
      <w:pPr>
        <w:spacing w:after="140" w:before="0"/>
      </w:pPr>
      <w:r>
        <w:rPr>
          <w:b/>
          <w:bCs/>
          <w:i/>
          <w:iCs/>
          <w:color w:val="595959"/>
          <w:sz w:val="18"/>
          <w:szCs w:val="18"/>
        </w:rPr>
        <w:t xml:space="preserve">Fußzeile:</w:t>
      </w:r>
      <w:r>
        <w:rPr>
          <w:i/>
          <w:iCs/>
          <w:color w:val="595959"/>
          <w:sz w:val="18"/>
          <w:szCs w:val="18"/>
        </w:rPr>
        <w:t xml:space="preserve"> Diese Checkliste ersetzt keine Steuerberatung. Sie orientiert sich an § 146 und § 147 AO sowie an den GoBD in der Fassung vom 14.07.2025.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2026-08-01T11:21:00.635Z</dcterms:created>
  <dcterms:modified xsi:type="dcterms:W3CDTF">2026-08-01T11:21:00.635Z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