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40"/>
      </w:pPr>
      <w:r>
        <w:rPr>
          <w:b/>
          <w:bCs/>
          <w:sz w:val="32"/>
          <w:szCs w:val="32"/>
        </w:rPr>
        <w:t xml:space="preserve">E-Rechnung im Verein — Betroffenheits-Check und Eingangs-Fahrplan</w:t>
      </w:r>
    </w:p>
    <w:p>
      <w:pPr>
        <w:spacing w:after="100" w:before="200"/>
      </w:pPr>
      <w:r>
        <w:rPr>
          <w:b/>
          <w:bCs/>
        </w:rPr>
        <w:t xml:space="preserve">Vorbemerkung</w:t>
      </w:r>
    </w:p>
    <w:p>
      <w:pPr>
        <w:spacing w:after="140" w:before="0"/>
      </w:pPr>
      <w:r>
        <w:t xml:space="preserve">Die E-Rechnung betrifft Ihren Verein auf zwei Seiten, und die beiden Seiten haben unterschiedliche Stichtage. Empfangen können muss jeder inländische Unternehmer bereits seit dem 1. Januar 2025 — auch dann, wenn er die Kleinunternehmerregelung anwendet. Beim Ausstellen gelten Übergangsfristen bis Ende 2026 beziehungsweise Ende 2027, und Kleinunternehmer sind dauerhaft ausgenommen. Diese Arbeitshilfe klärt in Teil 1, welche Pflichten für Ihren Verein gelten, und legt in Teil 2 und 3 fest, wie eingehende E-Rechnungen behandelt werden. Teil 4 enthält eine Mitteilung an Ihre Lieferanten.</w:t>
      </w:r>
    </w:p>
    <w:p>
      <w:pPr>
        <w:spacing w:after="100" w:before="200"/>
      </w:pPr>
      <w:r>
        <w:rPr>
          <w:b/>
          <w:bCs/>
        </w:rPr>
        <w:t xml:space="preserve">Teil 1 — Betroffenheits-Check</w:t>
      </w:r>
    </w:p>
    <w:p>
      <w:pPr>
        <w:spacing w:after="140" w:before="0"/>
      </w:pPr>
      <w:r>
        <w:t xml:space="preserve">Beantworten Sie die Fragen der Reihe nach. Die Kleinunternehmerregelung hängt von den Umsätzen des Vorjahres und des laufenden Jahres ab — prüfen Sie Frage 2 deshalb zu Beginn jedes Kalenderjahres neu.</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c>
          <w:tcPr>
            <w:tcMar>
              <w:top w:type="dxa" w:w="60"/>
              <w:left w:type="dxa" w:w="100"/>
              <w:bottom w:type="dxa" w:w="60"/>
              <w:right w:type="dxa" w:w="100"/>
            </w:tcMar>
          </w:tcPr>
          <w:p>
            <w:r>
              <w:rPr>
                <w:b/>
                <w:bCs/>
                <w:sz w:val="20"/>
                <w:szCs w:val="20"/>
              </w:rPr>
              <w:t xml:space="preserve">Nr.</w:t>
            </w:r>
          </w:p>
        </w:tc>
        <w:tc>
          <w:tcPr>
            <w:tcMar>
              <w:top w:type="dxa" w:w="60"/>
              <w:left w:type="dxa" w:w="100"/>
              <w:bottom w:type="dxa" w:w="60"/>
              <w:right w:type="dxa" w:w="100"/>
            </w:tcMar>
          </w:tcPr>
          <w:p>
            <w:r>
              <w:rPr>
                <w:b/>
                <w:bCs/>
                <w:sz w:val="20"/>
                <w:szCs w:val="20"/>
              </w:rPr>
              <w:t xml:space="preserve">Frage</w:t>
            </w:r>
          </w:p>
        </w:tc>
        <w:tc>
          <w:tcPr>
            <w:tcMar>
              <w:top w:type="dxa" w:w="60"/>
              <w:left w:type="dxa" w:w="100"/>
              <w:bottom w:type="dxa" w:w="60"/>
              <w:right w:type="dxa" w:w="100"/>
            </w:tcMar>
          </w:tcPr>
          <w:p>
            <w:r>
              <w:rPr>
                <w:b/>
                <w:bCs/>
                <w:sz w:val="20"/>
                <w:szCs w:val="20"/>
              </w:rPr>
              <w:t xml:space="preserve">ja / nein</w:t>
            </w:r>
          </w:p>
        </w:tc>
        <w:tc>
          <w:tcPr>
            <w:tcMar>
              <w:top w:type="dxa" w:w="60"/>
              <w:left w:type="dxa" w:w="100"/>
              <w:bottom w:type="dxa" w:w="60"/>
              <w:right w:type="dxa" w:w="100"/>
            </w:tcMar>
          </w:tcPr>
          <w:p>
            <w:r>
              <w:rPr>
                <w:b/>
                <w:bCs/>
                <w:sz w:val="20"/>
                <w:szCs w:val="20"/>
              </w:rPr>
              <w:t xml:space="preserve">Was daraus folgt</w:t>
            </w:r>
          </w:p>
        </w:tc>
      </w:tr>
      <w:tr>
        <w:tc>
          <w:tcPr>
            <w:tcMar>
              <w:top w:type="dxa" w:w="60"/>
              <w:left w:type="dxa" w:w="100"/>
              <w:bottom w:type="dxa" w:w="60"/>
              <w:right w:type="dxa" w:w="100"/>
            </w:tcMar>
          </w:tcPr>
          <w:p>
            <w:r>
              <w:rPr>
                <w:b w:val="false"/>
                <w:bCs w:val="false"/>
                <w:sz w:val="20"/>
                <w:szCs w:val="20"/>
              </w:rPr>
              <w:t xml:space="preserve">1</w:t>
            </w:r>
          </w:p>
        </w:tc>
        <w:tc>
          <w:tcPr>
            <w:tcMar>
              <w:top w:type="dxa" w:w="60"/>
              <w:left w:type="dxa" w:w="100"/>
              <w:bottom w:type="dxa" w:w="60"/>
              <w:right w:type="dxa" w:w="100"/>
            </w:tcMar>
          </w:tcPr>
          <w:p>
            <w:r>
              <w:rPr>
                <w:b w:val="false"/>
                <w:bCs w:val="false"/>
                <w:sz w:val="20"/>
                <w:szCs w:val="20"/>
              </w:rPr>
              <w:t xml:space="preserve">Erzielt der Verein regelmäßig Einnahmen gegen Entgelt, etwa aus Werbung, Sponsoring, Vermietung, Verkauf von Speisen und Getränken oder Startgeldern?</w:t>
            </w:r>
          </w:p>
        </w:tc>
        <w:tc>
          <w:tcPr>
            <w:tcMar>
              <w:top w:type="dxa" w:w="60"/>
              <w:left w:type="dxa" w:w="100"/>
              <w:bottom w:type="dxa" w:w="60"/>
              <w:right w:type="dxa" w:w="100"/>
            </w:tcMar>
          </w:tcPr>
          <w:p/>
        </w:tc>
        <w:tc>
          <w:tcPr>
            <w:tcMar>
              <w:top w:type="dxa" w:w="60"/>
              <w:left w:type="dxa" w:w="100"/>
              <w:bottom w:type="dxa" w:w="60"/>
              <w:right w:type="dxa" w:w="100"/>
            </w:tcMar>
          </w:tcPr>
          <w:p>
            <w:r>
              <w:rPr>
                <w:b w:val="false"/>
                <w:bCs w:val="false"/>
                <w:sz w:val="20"/>
                <w:szCs w:val="20"/>
              </w:rPr>
              <w:t xml:space="preserve">Ja: Der Verein ist Unternehmer und muss E-Rechnungen seit dem 01.01.2025 empfangen können. Nein: Der Verein ist kein Unternehmer, weder Empfangs- noch Ausstellungspflicht; die Fragen 2 bis 4 entfallen.</w:t>
            </w:r>
          </w:p>
        </w:tc>
      </w:tr>
      <w:tr>
        <w:tc>
          <w:tcPr>
            <w:tcMar>
              <w:top w:type="dxa" w:w="60"/>
              <w:left w:type="dxa" w:w="100"/>
              <w:bottom w:type="dxa" w:w="60"/>
              <w:right w:type="dxa" w:w="100"/>
            </w:tcMar>
          </w:tcPr>
          <w:p>
            <w:r>
              <w:rPr>
                <w:b w:val="false"/>
                <w:bCs w:val="false"/>
                <w:sz w:val="20"/>
                <w:szCs w:val="20"/>
              </w:rPr>
              <w:t xml:space="preserve">2</w:t>
            </w:r>
          </w:p>
        </w:tc>
        <w:tc>
          <w:tcPr>
            <w:tcMar>
              <w:top w:type="dxa" w:w="60"/>
              <w:left w:type="dxa" w:w="100"/>
              <w:bottom w:type="dxa" w:w="60"/>
              <w:right w:type="dxa" w:w="100"/>
            </w:tcMar>
          </w:tcPr>
          <w:p>
            <w:r>
              <w:rPr>
                <w:b w:val="false"/>
                <w:bCs w:val="false"/>
                <w:sz w:val="20"/>
                <w:szCs w:val="20"/>
              </w:rPr>
              <w:t xml:space="preserve">Wendet der Verein die Kleinunternehmerregelung nach § 19 UStG an?</w:t>
            </w:r>
          </w:p>
        </w:tc>
        <w:tc>
          <w:tcPr>
            <w:tcMar>
              <w:top w:type="dxa" w:w="60"/>
              <w:left w:type="dxa" w:w="100"/>
              <w:bottom w:type="dxa" w:w="60"/>
              <w:right w:type="dxa" w:w="100"/>
            </w:tcMar>
          </w:tcPr>
          <w:p/>
        </w:tc>
        <w:tc>
          <w:tcPr>
            <w:tcMar>
              <w:top w:type="dxa" w:w="60"/>
              <w:left w:type="dxa" w:w="100"/>
              <w:bottom w:type="dxa" w:w="60"/>
              <w:right w:type="dxa" w:w="100"/>
            </w:tcMar>
          </w:tcPr>
          <w:p>
            <w:r>
              <w:rPr>
                <w:b w:val="false"/>
                <w:bCs w:val="false"/>
                <w:sz w:val="20"/>
                <w:szCs w:val="20"/>
              </w:rPr>
              <w:t xml:space="preserve">Ja: Eigene Rechnungen dürfen dauerhaft auf Papier oder als PDF gestellt werden (§ 34a UStDV). Die Empfangspflicht bleibt bestehen. Fragen 3 und 4 entfallen.</w:t>
            </w:r>
          </w:p>
        </w:tc>
      </w:tr>
      <w:tr>
        <w:tc>
          <w:tcPr>
            <w:tcMar>
              <w:top w:type="dxa" w:w="60"/>
              <w:left w:type="dxa" w:w="100"/>
              <w:bottom w:type="dxa" w:w="60"/>
              <w:right w:type="dxa" w:w="100"/>
            </w:tcMar>
          </w:tcPr>
          <w:p>
            <w:r>
              <w:rPr>
                <w:b w:val="false"/>
                <w:bCs w:val="false"/>
                <w:sz w:val="20"/>
                <w:szCs w:val="20"/>
              </w:rPr>
              <w:t xml:space="preserve">3</w:t>
            </w:r>
          </w:p>
        </w:tc>
        <w:tc>
          <w:tcPr>
            <w:tcMar>
              <w:top w:type="dxa" w:w="60"/>
              <w:left w:type="dxa" w:w="100"/>
              <w:bottom w:type="dxa" w:w="60"/>
              <w:right w:type="dxa" w:w="100"/>
            </w:tcMar>
          </w:tcPr>
          <w:p>
            <w:r>
              <w:rPr>
                <w:b w:val="false"/>
                <w:bCs w:val="false"/>
                <w:sz w:val="20"/>
                <w:szCs w:val="20"/>
              </w:rPr>
              <w:t xml:space="preserve">Lag der Gesamtumsatz des Vereins im Jahr 2026 über 800.000 Euro?</w:t>
            </w:r>
          </w:p>
        </w:tc>
        <w:tc>
          <w:tcPr>
            <w:tcMar>
              <w:top w:type="dxa" w:w="60"/>
              <w:left w:type="dxa" w:w="100"/>
              <w:bottom w:type="dxa" w:w="60"/>
              <w:right w:type="dxa" w:w="100"/>
            </w:tcMar>
          </w:tcPr>
          <w:p/>
        </w:tc>
        <w:tc>
          <w:tcPr>
            <w:tcMar>
              <w:top w:type="dxa" w:w="60"/>
              <w:left w:type="dxa" w:w="100"/>
              <w:bottom w:type="dxa" w:w="60"/>
              <w:right w:type="dxa" w:w="100"/>
            </w:tcMar>
          </w:tcPr>
          <w:p>
            <w:r>
              <w:rPr>
                <w:b w:val="false"/>
                <w:bCs w:val="false"/>
                <w:sz w:val="20"/>
                <w:szCs w:val="20"/>
              </w:rPr>
              <w:t xml:space="preserve">Ja: E-Rechnungen an andere Unternehmer sind ab dem 01.01.2027 Pflicht. Nein: erst ab dem 01.01.2028.</w:t>
            </w:r>
          </w:p>
        </w:tc>
      </w:tr>
      <w:tr>
        <w:tc>
          <w:tcPr>
            <w:tcMar>
              <w:top w:type="dxa" w:w="60"/>
              <w:left w:type="dxa" w:w="100"/>
              <w:bottom w:type="dxa" w:w="60"/>
              <w:right w:type="dxa" w:w="100"/>
            </w:tcMar>
          </w:tcPr>
          <w:p>
            <w:r>
              <w:rPr>
                <w:b w:val="false"/>
                <w:bCs w:val="false"/>
                <w:sz w:val="20"/>
                <w:szCs w:val="20"/>
              </w:rPr>
              <w:t xml:space="preserve">4</w:t>
            </w:r>
          </w:p>
        </w:tc>
        <w:tc>
          <w:tcPr>
            <w:tcMar>
              <w:top w:type="dxa" w:w="60"/>
              <w:left w:type="dxa" w:w="100"/>
              <w:bottom w:type="dxa" w:w="60"/>
              <w:right w:type="dxa" w:w="100"/>
            </w:tcMar>
          </w:tcPr>
          <w:p>
            <w:r>
              <w:rPr>
                <w:b w:val="false"/>
                <w:bCs w:val="false"/>
                <w:sz w:val="20"/>
                <w:szCs w:val="20"/>
              </w:rPr>
              <w:t xml:space="preserve">Stellt der Verein Rechnungen an andere Unternehmen im Inland, etwa an Sponsoren oder Firmenkunden?</w:t>
            </w:r>
          </w:p>
        </w:tc>
        <w:tc>
          <w:tcPr>
            <w:tcMar>
              <w:top w:type="dxa" w:w="60"/>
              <w:left w:type="dxa" w:w="100"/>
              <w:bottom w:type="dxa" w:w="60"/>
              <w:right w:type="dxa" w:w="100"/>
            </w:tcMar>
          </w:tcPr>
          <w:p/>
        </w:tc>
        <w:tc>
          <w:tcPr>
            <w:tcMar>
              <w:top w:type="dxa" w:w="60"/>
              <w:left w:type="dxa" w:w="100"/>
              <w:bottom w:type="dxa" w:w="60"/>
              <w:right w:type="dxa" w:w="100"/>
            </w:tcMar>
          </w:tcPr>
          <w:p>
            <w:r>
              <w:rPr>
                <w:b w:val="false"/>
                <w:bCs w:val="false"/>
                <w:sz w:val="20"/>
                <w:szCs w:val="20"/>
              </w:rPr>
              <w:t xml:space="preserve">Nein: Die Ausstellungspflicht hat für Ihren Verein keine praktische Bedeutung. Ja: Für diese Rechnungen gilt der Stichtag aus Frage 3.</w:t>
            </w:r>
          </w:p>
        </w:tc>
      </w:tr>
    </w:tbl>
    <w:p>
      <w:pPr>
        <w:spacing w:after="120"/>
      </w:pPr>
    </w:p>
    <w:p>
      <w:pPr>
        <w:spacing w:after="140" w:before="0"/>
      </w:pPr>
      <w:r>
        <w:t xml:space="preserve">Rechnungen an Mitglieder und andere Privatpersonen lösen nie eine E-Rechnungspflicht aus. Für Rechnungen an Behörden und andere öffentliche Auftraggeber können eigene E-Rechnungsvorschriften von Bund oder Land gelten; klären Sie das vorab mit dem jeweiligen Auftraggeber.</w:t>
      </w:r>
    </w:p>
    <w:p>
      <w:pPr>
        <w:spacing w:after="140" w:before="0"/>
      </w:pPr>
      <w:r>
        <w:t xml:space="preserve">Ergebnis für unseren Verein:</w:t>
      </w:r>
    </w:p>
    <w:p>
      <w:pPr>
        <w:spacing w:after="140" w:before="0"/>
      </w:pPr>
      <w:r>
        <w:t xml:space="preserve">Empfangspflicht besteht: ja ____ / nein ____</w:t>
      </w:r>
    </w:p>
    <w:p>
      <w:pPr>
        <w:spacing w:after="140" w:before="0"/>
      </w:pPr>
      <w:r>
        <w:t xml:space="preserve">Eigene Rechnungen als E-Rechnung ab: ______________ (oder: dauerhaft nicht erforderlich ____)</w:t>
      </w:r>
    </w:p>
    <w:p>
      <w:pPr>
        <w:spacing w:after="140" w:before="0"/>
      </w:pPr>
      <w:r>
        <w:t xml:space="preserve">Geprüft am ______________ durch ______________________________</w:t>
      </w:r>
    </w:p>
    <w:p>
      <w:pPr>
        <w:spacing w:after="100" w:before="200"/>
      </w:pPr>
      <w:r>
        <w:rPr>
          <w:b/>
          <w:bCs/>
        </w:rPr>
        <w:t xml:space="preserve">Teil 2 — Eingangs-Fahrplan</w:t>
      </w:r>
    </w:p>
    <w:p>
      <w:pPr>
        <w:spacing w:after="140" w:before="0"/>
      </w:pPr>
      <w:r>
        <w:t xml:space="preserve">Tragen Sie für jede Aufgabe ein, wie sie in Ihrem Verein erledigt wird. Ein eigenes Postfach nur für E-Rechnungen ist nicht vorgeschrieben; das vorhandene Vereinspostfach genügt.</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c>
          <w:tcPr>
            <w:tcMar>
              <w:top w:type="dxa" w:w="60"/>
              <w:left w:type="dxa" w:w="100"/>
              <w:bottom w:type="dxa" w:w="60"/>
              <w:right w:type="dxa" w:w="100"/>
            </w:tcMar>
          </w:tcPr>
          <w:p>
            <w:r>
              <w:rPr>
                <w:b/>
                <w:bCs/>
                <w:sz w:val="20"/>
                <w:szCs w:val="20"/>
              </w:rPr>
              <w:t xml:space="preserve">Aufgabe</w:t>
            </w:r>
          </w:p>
        </w:tc>
        <w:tc>
          <w:tcPr>
            <w:tcMar>
              <w:top w:type="dxa" w:w="60"/>
              <w:left w:type="dxa" w:w="100"/>
              <w:bottom w:type="dxa" w:w="60"/>
              <w:right w:type="dxa" w:w="100"/>
            </w:tcMar>
          </w:tcPr>
          <w:p>
            <w:r>
              <w:rPr>
                <w:b/>
                <w:bCs/>
                <w:sz w:val="20"/>
                <w:szCs w:val="20"/>
              </w:rPr>
              <w:t xml:space="preserve">Unsere Festlegung</w:t>
            </w:r>
          </w:p>
        </w:tc>
        <w:tc>
          <w:tcPr>
            <w:tcMar>
              <w:top w:type="dxa" w:w="60"/>
              <w:left w:type="dxa" w:w="100"/>
              <w:bottom w:type="dxa" w:w="60"/>
              <w:right w:type="dxa" w:w="100"/>
            </w:tcMar>
          </w:tcPr>
          <w:p>
            <w:r>
              <w:rPr>
                <w:b/>
                <w:bCs/>
                <w:sz w:val="20"/>
                <w:szCs w:val="20"/>
              </w:rPr>
              <w:t xml:space="preserve">Zuständig</w:t>
            </w:r>
          </w:p>
        </w:tc>
        <w:tc>
          <w:tcPr>
            <w:tcMar>
              <w:top w:type="dxa" w:w="60"/>
              <w:left w:type="dxa" w:w="100"/>
              <w:bottom w:type="dxa" w:w="60"/>
              <w:right w:type="dxa" w:w="100"/>
            </w:tcMar>
          </w:tcPr>
          <w:p>
            <w:r>
              <w:rPr>
                <w:b/>
                <w:bCs/>
                <w:sz w:val="20"/>
                <w:szCs w:val="20"/>
              </w:rPr>
              <w:t xml:space="preserve">Vertretung</w:t>
            </w:r>
          </w:p>
        </w:tc>
      </w:tr>
      <w:tr>
        <w:tc>
          <w:tcPr>
            <w:tcMar>
              <w:top w:type="dxa" w:w="60"/>
              <w:left w:type="dxa" w:w="100"/>
              <w:bottom w:type="dxa" w:w="60"/>
              <w:right w:type="dxa" w:w="100"/>
            </w:tcMar>
          </w:tcPr>
          <w:p>
            <w:r>
              <w:rPr>
                <w:b w:val="false"/>
                <w:bCs w:val="false"/>
                <w:sz w:val="20"/>
                <w:szCs w:val="20"/>
              </w:rPr>
              <w:t xml:space="preserve">Postfach, an das E-Rechnungen geschickt werden</w:t>
            </w:r>
          </w:p>
        </w:tc>
        <w:tc>
          <w:tcPr>
            <w:tcMar>
              <w:top w:type="dxa" w:w="60"/>
              <w:left w:type="dxa" w:w="100"/>
              <w:bottom w:type="dxa" w:w="60"/>
              <w:right w:type="dxa" w:w="100"/>
            </w:tcMar>
          </w:tcPr>
          <w:p/>
        </w:tc>
        <w:tc>
          <w:tcPr>
            <w:tcMar>
              <w:top w:type="dxa" w:w="60"/>
              <w:left w:type="dxa" w:w="100"/>
              <w:bottom w:type="dxa" w:w="60"/>
              <w:right w:type="dxa" w:w="100"/>
            </w:tcMar>
          </w:tcPr>
          <w:p/>
        </w:tc>
        <w:tc>
          <w:tcPr>
            <w:tcMar>
              <w:top w:type="dxa" w:w="60"/>
              <w:left w:type="dxa" w:w="100"/>
              <w:bottom w:type="dxa" w:w="60"/>
              <w:right w:type="dxa" w:w="100"/>
            </w:tcMar>
          </w:tcPr>
          <w:p/>
        </w:tc>
      </w:tr>
      <w:tr>
        <w:tc>
          <w:tcPr>
            <w:tcMar>
              <w:top w:type="dxa" w:w="60"/>
              <w:left w:type="dxa" w:w="100"/>
              <w:bottom w:type="dxa" w:w="60"/>
              <w:right w:type="dxa" w:w="100"/>
            </w:tcMar>
          </w:tcPr>
          <w:p>
            <w:r>
              <w:rPr>
                <w:b w:val="false"/>
                <w:bCs w:val="false"/>
                <w:sz w:val="20"/>
                <w:szCs w:val="20"/>
              </w:rPr>
              <w:t xml:space="preserve">Wie oft das Postfach gelesen wird</w:t>
            </w:r>
          </w:p>
        </w:tc>
        <w:tc>
          <w:tcPr>
            <w:tcMar>
              <w:top w:type="dxa" w:w="60"/>
              <w:left w:type="dxa" w:w="100"/>
              <w:bottom w:type="dxa" w:w="60"/>
              <w:right w:type="dxa" w:w="100"/>
            </w:tcMar>
          </w:tcPr>
          <w:p/>
        </w:tc>
        <w:tc>
          <w:tcPr>
            <w:tcMar>
              <w:top w:type="dxa" w:w="60"/>
              <w:left w:type="dxa" w:w="100"/>
              <w:bottom w:type="dxa" w:w="60"/>
              <w:right w:type="dxa" w:w="100"/>
            </w:tcMar>
          </w:tcPr>
          <w:p/>
        </w:tc>
        <w:tc>
          <w:tcPr>
            <w:tcMar>
              <w:top w:type="dxa" w:w="60"/>
              <w:left w:type="dxa" w:w="100"/>
              <w:bottom w:type="dxa" w:w="60"/>
              <w:right w:type="dxa" w:w="100"/>
            </w:tcMar>
          </w:tcPr>
          <w:p/>
        </w:tc>
      </w:tr>
      <w:tr>
        <w:tc>
          <w:tcPr>
            <w:tcMar>
              <w:top w:type="dxa" w:w="60"/>
              <w:left w:type="dxa" w:w="100"/>
              <w:bottom w:type="dxa" w:w="60"/>
              <w:right w:type="dxa" w:w="100"/>
            </w:tcMar>
          </w:tcPr>
          <w:p>
            <w:r>
              <w:rPr>
                <w:b w:val="false"/>
                <w:bCs w:val="false"/>
                <w:sz w:val="20"/>
                <w:szCs w:val="20"/>
              </w:rPr>
              <w:t xml:space="preserve">Womit die Datei technisch geprüft wird</w:t>
            </w:r>
          </w:p>
        </w:tc>
        <w:tc>
          <w:tcPr>
            <w:tcMar>
              <w:top w:type="dxa" w:w="60"/>
              <w:left w:type="dxa" w:w="100"/>
              <w:bottom w:type="dxa" w:w="60"/>
              <w:right w:type="dxa" w:w="100"/>
            </w:tcMar>
          </w:tcPr>
          <w:p/>
        </w:tc>
        <w:tc>
          <w:tcPr>
            <w:tcMar>
              <w:top w:type="dxa" w:w="60"/>
              <w:left w:type="dxa" w:w="100"/>
              <w:bottom w:type="dxa" w:w="60"/>
              <w:right w:type="dxa" w:w="100"/>
            </w:tcMar>
          </w:tcPr>
          <w:p/>
        </w:tc>
        <w:tc>
          <w:tcPr>
            <w:tcMar>
              <w:top w:type="dxa" w:w="60"/>
              <w:left w:type="dxa" w:w="100"/>
              <w:bottom w:type="dxa" w:w="60"/>
              <w:right w:type="dxa" w:w="100"/>
            </w:tcMar>
          </w:tcPr>
          <w:p/>
        </w:tc>
      </w:tr>
      <w:tr>
        <w:tc>
          <w:tcPr>
            <w:tcMar>
              <w:top w:type="dxa" w:w="60"/>
              <w:left w:type="dxa" w:w="100"/>
              <w:bottom w:type="dxa" w:w="60"/>
              <w:right w:type="dxa" w:w="100"/>
            </w:tcMar>
          </w:tcPr>
          <w:p>
            <w:r>
              <w:rPr>
                <w:b w:val="false"/>
                <w:bCs w:val="false"/>
                <w:sz w:val="20"/>
                <w:szCs w:val="20"/>
              </w:rPr>
              <w:t xml:space="preserve">Wo die Originaldatei und der Prüfbericht abgelegt werden</w:t>
            </w:r>
          </w:p>
        </w:tc>
        <w:tc>
          <w:tcPr>
            <w:tcMar>
              <w:top w:type="dxa" w:w="60"/>
              <w:left w:type="dxa" w:w="100"/>
              <w:bottom w:type="dxa" w:w="60"/>
              <w:right w:type="dxa" w:w="100"/>
            </w:tcMar>
          </w:tcPr>
          <w:p/>
        </w:tc>
        <w:tc>
          <w:tcPr>
            <w:tcMar>
              <w:top w:type="dxa" w:w="60"/>
              <w:left w:type="dxa" w:w="100"/>
              <w:bottom w:type="dxa" w:w="60"/>
              <w:right w:type="dxa" w:w="100"/>
            </w:tcMar>
          </w:tcPr>
          <w:p/>
        </w:tc>
        <w:tc>
          <w:tcPr>
            <w:tcMar>
              <w:top w:type="dxa" w:w="60"/>
              <w:left w:type="dxa" w:w="100"/>
              <w:bottom w:type="dxa" w:w="60"/>
              <w:right w:type="dxa" w:w="100"/>
            </w:tcMar>
          </w:tcPr>
          <w:p/>
        </w:tc>
      </w:tr>
      <w:tr>
        <w:tc>
          <w:tcPr>
            <w:tcMar>
              <w:top w:type="dxa" w:w="60"/>
              <w:left w:type="dxa" w:w="100"/>
              <w:bottom w:type="dxa" w:w="60"/>
              <w:right w:type="dxa" w:w="100"/>
            </w:tcMar>
          </w:tcPr>
          <w:p>
            <w:r>
              <w:rPr>
                <w:b w:val="false"/>
                <w:bCs w:val="false"/>
                <w:sz w:val="20"/>
                <w:szCs w:val="20"/>
              </w:rPr>
              <w:t xml:space="preserve">Wer die Rechnung inhaltlich prüft und zur Zahlung freigibt</w:t>
            </w:r>
          </w:p>
        </w:tc>
        <w:tc>
          <w:tcPr>
            <w:tcMar>
              <w:top w:type="dxa" w:w="60"/>
              <w:left w:type="dxa" w:w="100"/>
              <w:bottom w:type="dxa" w:w="60"/>
              <w:right w:type="dxa" w:w="100"/>
            </w:tcMar>
          </w:tcPr>
          <w:p/>
        </w:tc>
        <w:tc>
          <w:tcPr>
            <w:tcMar>
              <w:top w:type="dxa" w:w="60"/>
              <w:left w:type="dxa" w:w="100"/>
              <w:bottom w:type="dxa" w:w="60"/>
              <w:right w:type="dxa" w:w="100"/>
            </w:tcMar>
          </w:tcPr>
          <w:p/>
        </w:tc>
        <w:tc>
          <w:tcPr>
            <w:tcMar>
              <w:top w:type="dxa" w:w="60"/>
              <w:left w:type="dxa" w:w="100"/>
              <w:bottom w:type="dxa" w:w="60"/>
              <w:right w:type="dxa" w:w="100"/>
            </w:tcMar>
          </w:tcPr>
          <w:p/>
        </w:tc>
      </w:tr>
    </w:tbl>
    <w:p>
      <w:pPr>
        <w:spacing w:after="120"/>
      </w:pPr>
    </w:p>
    <w:p>
      <w:pPr>
        <w:spacing w:after="140" w:before="0"/>
      </w:pPr>
      <w:r>
        <w:t xml:space="preserve">Zur Prüfung: Eine technische Prüfung bestätigt Format und Geschäftsregeln, nicht die inhaltliche Richtigkeit. Ob die Leistung erbracht wurde, der Betrag stimmt und der Steuersatz passt, prüft weiterhin ein Mensch. Bewahren Sie den Prüfbericht zusammen mit der Rechnung auf.</w:t>
      </w:r>
    </w:p>
    <w:p>
      <w:pPr>
        <w:spacing w:after="100" w:before="200"/>
      </w:pPr>
      <w:r>
        <w:rPr>
          <w:b/>
          <w:bCs/>
        </w:rPr>
        <w:t xml:space="preserve">Teil 3 — Ergänzungsblatt zur Verfahrensdokumentation</w:t>
      </w:r>
    </w:p>
    <w:p>
      <w:pPr>
        <w:spacing w:after="140" w:before="0"/>
      </w:pPr>
      <w:r>
        <w:t xml:space="preserve">Den folgenden Abschnitt können Sie in die Verfahrensdokumentation Ihres Vereins übernehmen. Ersetzen Sie die Angaben in eckigen Klammern und passen Sie den Text an, wenn Ihr Ablauf abweicht — die Dokumentation muss beschreiben, wie tatsächlich gearbeitet wird.</w:t>
      </w:r>
    </w:p>
    <w:p>
      <w:pPr>
        <w:spacing w:after="100" w:before="200"/>
      </w:pPr>
      <w:r>
        <w:rPr>
          <w:b/>
          <w:bCs/>
        </w:rPr>
        <w:t xml:space="preserve">Eingang elektronischer Rechnungen</w:t>
      </w:r>
    </w:p>
    <w:p>
      <w:pPr>
        <w:spacing w:after="140" w:before="0"/>
      </w:pPr>
      <w:r>
        <w:t xml:space="preserve">Empfangsweg: Elektronische Rechnungen gehen an die Adresse [E-Mail-Adresse]. Das Postfach wird von [Funktion, z. B. Kassenwart] mindestens [wöchentlich] gelesen, in Abwesenheit von [Funktion].</w:t>
      </w:r>
    </w:p>
    <w:p>
      <w:pPr>
        <w:spacing w:after="140" w:before="0"/>
      </w:pPr>
      <w:r>
        <w:t xml:space="preserve">Formate: Als elektronische Rechnung behandelt werden XRechnung (UBL oder CII), ZUGFeRD ab Version 2.0.1 mit Ausnahme der Profile MINIMUM und BASIC-WL sowie Factur-X. Ein PDF ohne strukturierte Daten ist eine sonstige Rechnung und wird wie ein Papierbeleg behandelt.</w:t>
      </w:r>
    </w:p>
    <w:p>
      <w:pPr>
        <w:spacing w:after="140" w:before="0"/>
      </w:pPr>
      <w:r>
        <w:t xml:space="preserve">Prüfung: Die Datei wird mit [Prüfdienst oder Programm] technisch geprüft; der Prüfbericht wird mit dem Beleg abgelegt. Die inhaltliche Prüfung auf erhaltene Leistung, Betrag und Steuersatz erfolgt durch [Funktion] vor der Zahlungsfreigabe.</w:t>
      </w:r>
    </w:p>
    <w:p>
      <w:pPr>
        <w:spacing w:after="140" w:before="0"/>
      </w:pPr>
      <w:r>
        <w:t xml:space="preserve">Fehlerhafte Rechnungen: Erfüllt eine Rechnung die Anforderungen nicht, fordert [Funktion] beim Aussteller eine berichtigte Rechnung an. Der Vorgang wird mit Datum vermerkt.</w:t>
      </w:r>
    </w:p>
    <w:p>
      <w:pPr>
        <w:spacing w:after="140" w:before="0"/>
      </w:pPr>
      <w:r>
        <w:t xml:space="preserve">Ablage: Die Originaldatei wird unverändert in [Ablageort oder Programm] gespeichert. Eine zusätzlich erzeugte lesbare Ansicht oder ein Ausdruck ersetzt die Originaldatei nicht.</w:t>
      </w:r>
    </w:p>
    <w:p>
      <w:pPr>
        <w:spacing w:after="140" w:before="0"/>
      </w:pPr>
      <w:r>
        <w:t xml:space="preserve">Aufbewahrung: Elektronische Rechnungen sind Buchungsbelege und werden acht Jahre aufbewahrt, beginnend mit dem Ende des Kalenderjahres, in dem sie eingegangen sind. Solange sie für eine noch nicht verjährte Steuer von Bedeutung sind, werden sie nicht gelöscht.</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tblGrid>
      <w:tr>
        <w:tc>
          <w:tcPr>
            <w:tcMar>
              <w:top w:type="dxa" w:w="60"/>
              <w:left w:type="dxa" w:w="100"/>
              <w:bottom w:type="dxa" w:w="60"/>
              <w:right w:type="dxa" w:w="100"/>
            </w:tcMar>
          </w:tcPr>
          <w:p>
            <w:r>
              <w:rPr>
                <w:b/>
                <w:bCs/>
                <w:sz w:val="20"/>
                <w:szCs w:val="20"/>
              </w:rPr>
              <w:t xml:space="preserve">Datum der Änderung</w:t>
            </w:r>
          </w:p>
        </w:tc>
        <w:tc>
          <w:tcPr>
            <w:tcMar>
              <w:top w:type="dxa" w:w="60"/>
              <w:left w:type="dxa" w:w="100"/>
              <w:bottom w:type="dxa" w:w="60"/>
              <w:right w:type="dxa" w:w="100"/>
            </w:tcMar>
          </w:tcPr>
          <w:p>
            <w:r>
              <w:rPr>
                <w:b/>
                <w:bCs/>
                <w:sz w:val="20"/>
                <w:szCs w:val="20"/>
              </w:rPr>
              <w:t xml:space="preserve">Was wurde geändert</w:t>
            </w:r>
          </w:p>
        </w:tc>
        <w:tc>
          <w:tcPr>
            <w:tcMar>
              <w:top w:type="dxa" w:w="60"/>
              <w:left w:type="dxa" w:w="100"/>
              <w:bottom w:type="dxa" w:w="60"/>
              <w:right w:type="dxa" w:w="100"/>
            </w:tcMar>
          </w:tcPr>
          <w:p>
            <w:r>
              <w:rPr>
                <w:b/>
                <w:bCs/>
                <w:sz w:val="20"/>
                <w:szCs w:val="20"/>
              </w:rPr>
              <w:t xml:space="preserve">Geändert durch</w:t>
            </w:r>
          </w:p>
        </w:tc>
      </w:tr>
    </w:tbl>
    <w:p>
      <w:pPr>
        <w:spacing w:after="120"/>
      </w:pPr>
    </w:p>
    <w:p>
      <w:pPr>
        <w:spacing w:after="100" w:before="200"/>
      </w:pPr>
      <w:r>
        <w:rPr>
          <w:b/>
          <w:bCs/>
        </w:rPr>
        <w:t xml:space="preserve">Teil 4 — Mitteilung an Lieferanten</w:t>
      </w:r>
    </w:p>
    <w:p>
      <w:pPr>
        <w:spacing w:after="140" w:before="0"/>
      </w:pPr>
      <w:r>
        <w:t xml:space="preserve">Diese Mitteilung können Sie per E-Mail an Lieferanten schicken, von denen Ihr Verein regelmäßig Rechnungen erhält. Ein Wunschformat können Sie nennen, aber nicht zur Bedingung machen: Eine zulässige E-Rechnung darf Ihr Verein nicht zurückweisen.</w:t>
      </w:r>
    </w:p>
    <w:p>
      <w:pPr>
        <w:spacing w:after="120" w:before="80"/>
        <w:ind w:left="400"/>
      </w:pPr>
      <w:r>
        <w:t xml:space="preserve">Sehr geehrte Damen und Herren,</w:t>
      </w:r>
    </w:p>
    <w:p>
      <w:pPr>
        <w:spacing w:after="120" w:before="80"/>
        <w:ind w:left="400"/>
      </w:pPr>
      <w:r>
        <w:t xml:space="preserve">für Rechnungen an unseren Verein nutzen Sie bitte ab sofort die folgende Adresse: [E-Mail-Adresse]. Wir können elektronische Rechnungen in den Formaten XRechnung, ZUGFeRD ab Version 2.0.1 und Factur-X entgegennehmen. Wenn es Ihnen möglich ist, senden Sie uns bevorzugt ZUGFeRD oder Factur-X, da diese Rechnungen auch ohne weitere Software lesbar sind.</w:t>
      </w:r>
    </w:p>
    <w:p>
      <w:pPr>
        <w:spacing w:after="120" w:before="80"/>
        <w:ind w:left="400"/>
      </w:pPr>
      <w:r>
        <w:t xml:space="preserve">Bitte geben Sie auf der Rechnung unsere vollständige Anschrift an: [Vereinsname, Straße, Postleitzahl und Ort].</w:t>
      </w:r>
    </w:p>
    <w:p>
      <w:pPr>
        <w:spacing w:after="120" w:before="80"/>
        <w:ind w:left="400"/>
      </w:pPr>
      <w:r>
        <w:t xml:space="preserve">Für Rückfragen erreichen Sie uns unter [Telefonnummer oder E-Mail-Adresse].</w:t>
      </w:r>
    </w:p>
    <w:p>
      <w:pPr>
        <w:spacing w:after="120" w:before="80"/>
        <w:ind w:left="400"/>
      </w:pPr>
      <w:r>
        <w:t xml:space="preserve">Mit freundlichen Grüßen</w:t>
      </w:r>
    </w:p>
    <w:p>
      <w:pPr>
        <w:spacing w:after="120" w:before="80"/>
        <w:ind w:left="400"/>
      </w:pPr>
      <w:r>
        <w:t xml:space="preserve">[Name, Funktion im Verein]</w:t>
      </w:r>
    </w:p>
    <w:p>
      <w:pPr>
        <w:spacing w:after="140" w:before="0"/>
      </w:pPr>
      <w:r>
        <w:rPr>
          <w:b/>
          <w:bCs/>
          <w:i/>
          <w:iCs/>
          <w:color w:val="595959"/>
          <w:sz w:val="18"/>
          <w:szCs w:val="18"/>
        </w:rPr>
        <w:t xml:space="preserve">Hinweis zur Verwendung</w:t>
      </w:r>
      <w:r>
        <w:rPr>
          <w:i/>
          <w:iCs/>
          <w:color w:val="595959"/>
          <w:sz w:val="18"/>
          <w:szCs w:val="18"/>
        </w:rPr>
        <w:t xml:space="preserve"> — Diese Arbeitshilfe ersetzt keine steuerliche Beratung. Ob Ihr Verein Unternehmer ist und die Kleinunternehmerregelung anwenden kann, hängt von seinen tatsächlichen Einnahmen ab; in Zweifelsfällen stimmen Sie die Einordnung mit dem Finanzamt oder einer steuerberatenden Stelle ab. Rechtsstand: September 2026.</w:t>
      </w:r>
    </w:p>
    <w:sectPr>
      <w:footerReference w:type="default" r:id="rId7"/>
      <w:pgSz w:w="11906" w:h="16838" w:orient="portrait"/>
      <w:pgMar w:top="1000" w:right="1100" w:bottom="1000" w:left="11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808080"/>
        <w:sz w:val="16"/>
        <w:szCs w:val="16"/>
      </w:rPr>
      <w:t xml:space="preserve">Muster-Vorlage von Bundaris · bundaris.de/ratgeber — Formulierungshilfe, keine Rechtsberatung.</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pPr>
        <w:spacing w:line="276"/>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E-Rechnung im Verein — Betroffenheits-Check und Eingangs-Fahrplan</dc:title>
  <dc:creator>Bundaris</dc:creator>
  <dc:description>Muster-Vorlage aus dem Bundaris-Ratgeber. Formulierungshilfe, keine Rechtsberatung.</dc:description>
  <cp:lastModifiedBy>Un-named</cp:lastModifiedBy>
  <cp:revision>1</cp:revision>
  <dcterms:created xsi:type="dcterms:W3CDTF">2026-09-12T21:43:12.511Z</dcterms:created>
  <dcterms:modified xsi:type="dcterms:W3CDTF">2026-09-12T21:43:12.511Z</dcterms:modified>
</cp:coreProperties>
</file>

<file path=docProps/custom.xml><?xml version="1.0" encoding="utf-8"?>
<Properties xmlns="http://schemas.openxmlformats.org/officeDocument/2006/custom-properties" xmlns:vt="http://schemas.openxmlformats.org/officeDocument/2006/docPropsVTypes"/>
</file>