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b/>
          <w:bCs/>
          <w:sz w:val="32"/>
          <w:szCs w:val="32"/>
        </w:rPr>
        <w:t xml:space="preserve">Beitragsordnung — Muster-Formulierungen zur anteiligen Beitragsberechnung bei unterjährigem Ein- und Austritt</w:t>
      </w:r>
    </w:p>
    <w:p>
      <w:pPr>
        <w:spacing w:after="100" w:before="200"/>
      </w:pPr>
      <w:r>
        <w:rPr>
          <w:b/>
          <w:bCs/>
        </w:rPr>
        <w:t xml:space="preserve">Vorbemerkung</w:t>
      </w:r>
    </w:p>
    <w:p>
      <w:pPr>
        <w:spacing w:after="140" w:before="0"/>
      </w:pPr>
      <w:r>
        <w:t xml:space="preserve">Diese Muster sind Formulierungshilfen, keine Rechtsberatung. Prüfen Sie vor dem Beschluss, ob Ihre Satzung eine Beitragsordnung vorsieht und welches Organ sie beschließt. Passen Sie Bezeichnungen, Beträge und Stichtag an Ihren Verein an.</w:t>
      </w:r>
    </w:p>
    <w:p>
      <w:pPr>
        <w:spacing w:after="100" w:before="200"/>
      </w:pPr>
      <w:r>
        <w:rPr>
          <w:b/>
          <w:bCs/>
        </w:rPr>
        <w:t xml:space="preserve">Variante A — Voller Beitrag (keine Kürzung)</w:t>
      </w:r>
    </w:p>
    <w:p>
      <w:pPr>
        <w:spacing w:after="140" w:before="0"/>
      </w:pPr>
      <w:r>
        <w:t xml:space="preserve">„§ __ Beitragshöhe bei unterjährigem Ein- und Austritt</w:t>
      </w:r>
    </w:p>
    <w:p>
      <w:pPr>
        <w:spacing w:after="140" w:before="0"/>
      </w:pPr>
      <w:r>
        <w:t xml:space="preserve">(1) Der Mitgliedsbeitrag wird für das gesamte Beitragsjahr geschuldet, unabhängig vom Zeitpunkt des Eintritts.</w:t>
      </w:r>
    </w:p>
    <w:p>
      <w:pPr>
        <w:spacing w:after="140" w:before="0"/>
      </w:pPr>
      <w:r>
        <w:t xml:space="preserve">(2) Bei Beendigung der Mitgliedschaft im Laufe des Beitragsjahres bleibt der volle Jahresbeitrag geschuldet. Eine Erstattung erfolgt nicht.</w:t>
      </w:r>
    </w:p>
    <w:p>
      <w:pPr>
        <w:spacing w:after="140" w:before="0"/>
      </w:pPr>
      <w:r>
        <w:t xml:space="preserve">(3) Die Aufnahmegebühr wird bei Aufnahme in voller Höhe fällig.“</w:t>
      </w:r>
    </w:p>
    <w:p>
      <w:pPr>
        <w:spacing w:after="100" w:before="200"/>
      </w:pPr>
      <w:r>
        <w:rPr>
          <w:b/>
          <w:bCs/>
        </w:rPr>
        <w:t xml:space="preserve">Variante B — Monatsgenau</w:t>
      </w:r>
    </w:p>
    <w:p>
      <w:pPr>
        <w:spacing w:after="140" w:before="0"/>
      </w:pPr>
      <w:r>
        <w:t xml:space="preserve">„§ __ Beitragshöhe bei unterjährigem Ein- und Austritt</w:t>
      </w:r>
    </w:p>
    <w:p>
      <w:pPr>
        <w:spacing w:after="140" w:before="0"/>
      </w:pPr>
      <w:r>
        <w:t xml:space="preserve">(1) Tritt ein Mitglied im Laufe des Beitragsjahres ein, wird der Jahresbeitrag anteilig nach Monaten berechnet. Maßgeblich ist die Zahl der Monate vom Eintrittsmonat bis zum Ende des Beitragsjahres; der Eintrittsmonat zählt voll.</w:t>
      </w:r>
    </w:p>
    <w:p>
      <w:pPr>
        <w:spacing w:after="140" w:before="0"/>
      </w:pPr>
      <w:r>
        <w:t xml:space="preserve">(2) Endet die Mitgliedschaft im Laufe des Beitragsjahres, wird der Beitrag entsprechend Absatz 1 anteilig bis einschließlich des Monats berechnet, in dem die Mitgliedschaft endet.</w:t>
      </w:r>
    </w:p>
    <w:p>
      <w:pPr>
        <w:spacing w:after="140" w:before="0"/>
      </w:pPr>
      <w:r>
        <w:t xml:space="preserve">(3) Die Aufnahmegebühr wird nicht anteilig berechnet; sie ist bei Aufnahme in voller Höhe fällig.</w:t>
      </w:r>
    </w:p>
    <w:p>
      <w:pPr>
        <w:spacing w:after="140" w:before="0"/>
      </w:pPr>
      <w:r>
        <w:t xml:space="preserve">(4) Zweckgebundene Umlagen werden nicht anteilig berechnet.</w:t>
      </w:r>
    </w:p>
    <w:p>
      <w:pPr>
        <w:spacing w:after="140" w:before="0"/>
      </w:pPr>
      <w:r>
        <w:t xml:space="preserve">(5) Diese Regelung gilt für Mitgliedschaften, die ab dem __.__.____ beginnen oder enden. Zuvor begründete Mitgliedschaften bleiben unberührt.“</w:t>
      </w:r>
    </w:p>
    <w:p>
      <w:pPr>
        <w:spacing w:after="100" w:before="200"/>
      </w:pPr>
      <w:r>
        <w:rPr>
          <w:b/>
          <w:bCs/>
        </w:rPr>
        <w:t xml:space="preserve">Variante C — Quartalsweise</w:t>
      </w:r>
    </w:p>
    <w:p>
      <w:pPr>
        <w:spacing w:after="140" w:before="0"/>
      </w:pPr>
      <w:r>
        <w:t xml:space="preserve">„§ __ Beitragshöhe bei unterjährigem Ein- und Austritt</w:t>
      </w:r>
    </w:p>
    <w:p>
      <w:pPr>
        <w:spacing w:after="140" w:before="0"/>
      </w:pPr>
      <w:r>
        <w:t xml:space="preserve">(1) Tritt ein Mitglied im Laufe des Beitragsjahres ein, wird der Jahresbeitrag anteilig nach Kalendervierteljahren berechnet. Maßgeblich ist die Zahl der Vierteljahre vom Eintrittsvierteljahr bis zum Ende des Beitragsjahres; ein angefangenes Vierteljahr zählt voll.</w:t>
      </w:r>
    </w:p>
    <w:p>
      <w:pPr>
        <w:spacing w:after="140" w:before="0"/>
      </w:pPr>
      <w:r>
        <w:t xml:space="preserve">(2) Endet die Mitgliedschaft im Laufe des Beitragsjahres, wird der Beitrag entsprechend Absatz 1 anteilig bis einschließlich des Vierteljahres berechnet, in dem die Mitgliedschaft endet.</w:t>
      </w:r>
    </w:p>
    <w:p>
      <w:pPr>
        <w:spacing w:after="140" w:before="0"/>
      </w:pPr>
      <w:r>
        <w:t xml:space="preserve">(3) Die Aufnahmegebühr wird nicht anteilig berechnet; sie ist bei Aufnahme in voller Höhe fällig.</w:t>
      </w:r>
    </w:p>
    <w:p>
      <w:pPr>
        <w:spacing w:after="140" w:before="0"/>
      </w:pPr>
      <w:r>
        <w:t xml:space="preserve">(4) Zweckgebundene Umlagen werden nicht anteilig berechnet.</w:t>
      </w:r>
    </w:p>
    <w:p>
      <w:pPr>
        <w:spacing w:after="140" w:before="0"/>
      </w:pPr>
      <w:r>
        <w:t xml:space="preserve">(5) Diese Regelung gilt für Mitgliedschaften, die ab dem __.__.____ beginnen oder enden. Zuvor begründete Mitgliedschaften bleiben unberührt.“</w:t>
      </w:r>
    </w:p>
    <w:p>
      <w:pPr>
        <w:spacing w:after="100" w:before="200"/>
      </w:pPr>
      <w:r>
        <w:rPr>
          <w:b/>
          <w:bCs/>
        </w:rPr>
        <w:t xml:space="preserve">Rechenbeispiele zum Abgleich</w:t>
      </w:r>
    </w:p>
    <w:p>
      <w:pPr>
        <w:spacing w:after="140" w:before="0"/>
      </w:pPr>
      <w:r>
        <w:t xml:space="preserve">Jahresbeitrag 120,00 Euro, Beitragsjahr = Kalenderjahr, Eintritt 12. Mai: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Mar>
              <w:top w:type="dxa" w:w="60"/>
              <w:left w:type="dxa" w:w="100"/>
              <w:bottom w:type="dxa" w:w="60"/>
              <w:right w:type="dxa" w:w="100"/>
            </w:tcMar>
          </w:tcPr>
          <w:p>
            <w:r>
              <w:rPr>
                <w:b/>
                <w:bCs/>
                <w:sz w:val="20"/>
                <w:szCs w:val="20"/>
              </w:rPr>
              <w:t xml:space="preserve">Variante</w:t>
            </w:r>
          </w:p>
        </w:tc>
        <w:tc>
          <w:tcPr>
            <w:tcMar>
              <w:top w:type="dxa" w:w="60"/>
              <w:left w:type="dxa" w:w="100"/>
              <w:bottom w:type="dxa" w:w="60"/>
              <w:right w:type="dxa" w:w="100"/>
            </w:tcMar>
          </w:tcPr>
          <w:p>
            <w:r>
              <w:rPr>
                <w:b/>
                <w:bCs/>
                <w:sz w:val="20"/>
                <w:szCs w:val="20"/>
              </w:rPr>
              <w:t xml:space="preserve">Berechnung</w:t>
            </w:r>
          </w:p>
        </w:tc>
        <w:tc>
          <w:tcPr>
            <w:tcMar>
              <w:top w:type="dxa" w:w="60"/>
              <w:left w:type="dxa" w:w="100"/>
              <w:bottom w:type="dxa" w:w="60"/>
              <w:right w:type="dxa" w:w="100"/>
            </w:tcMar>
          </w:tcPr>
          <w:p>
            <w:r>
              <w:rPr>
                <w:b/>
                <w:bCs/>
                <w:sz w:val="20"/>
                <w:szCs w:val="20"/>
              </w:rPr>
              <w:t xml:space="preserve">Betrag</w:t>
            </w:r>
          </w:p>
        </w:tc>
      </w:tr>
      <w:tr>
        <w:tc>
          <w:tcPr>
            <w:tcMar>
              <w:top w:type="dxa" w:w="60"/>
              <w:left w:type="dxa" w:w="100"/>
              <w:bottom w:type="dxa" w:w="60"/>
              <w:right w:type="dxa" w:w="100"/>
            </w:tcMar>
          </w:tcPr>
          <w:p>
            <w:r>
              <w:rPr>
                <w:b w:val="false"/>
                <w:bCs w:val="false"/>
                <w:sz w:val="20"/>
                <w:szCs w:val="20"/>
              </w:rPr>
              <w:t xml:space="preserve">A — voller Beitrag</w:t>
            </w:r>
          </w:p>
        </w:tc>
        <w:tc>
          <w:tcPr>
            <w:tcMar>
              <w:top w:type="dxa" w:w="60"/>
              <w:left w:type="dxa" w:w="100"/>
              <w:bottom w:type="dxa" w:w="60"/>
              <w:right w:type="dxa" w:w="100"/>
            </w:tcMar>
          </w:tcPr>
          <w:p>
            <w:r>
              <w:rPr>
                <w:b w:val="false"/>
                <w:bCs w:val="false"/>
                <w:sz w:val="20"/>
                <w:szCs w:val="20"/>
              </w:rPr>
              <w:t xml:space="preserve">—</w:t>
            </w:r>
          </w:p>
        </w:tc>
        <w:tc>
          <w:tcPr>
            <w:tcMar>
              <w:top w:type="dxa" w:w="60"/>
              <w:left w:type="dxa" w:w="100"/>
              <w:bottom w:type="dxa" w:w="60"/>
              <w:right w:type="dxa" w:w="100"/>
            </w:tcMar>
          </w:tcPr>
          <w:p>
            <w:r>
              <w:rPr>
                <w:b w:val="false"/>
                <w:bCs w:val="false"/>
                <w:sz w:val="20"/>
                <w:szCs w:val="20"/>
              </w:rPr>
              <w:t xml:space="preserve">120,00 Euro</w:t>
            </w:r>
          </w:p>
        </w:tc>
      </w:tr>
      <w:tr>
        <w:tc>
          <w:tcPr>
            <w:tcMar>
              <w:top w:type="dxa" w:w="60"/>
              <w:left w:type="dxa" w:w="100"/>
              <w:bottom w:type="dxa" w:w="60"/>
              <w:right w:type="dxa" w:w="100"/>
            </w:tcMar>
          </w:tcPr>
          <w:p>
            <w:r>
              <w:rPr>
                <w:b w:val="false"/>
                <w:bCs w:val="false"/>
                <w:sz w:val="20"/>
                <w:szCs w:val="20"/>
              </w:rPr>
              <w:t xml:space="preserve">B — monatsgenau</w:t>
            </w:r>
          </w:p>
        </w:tc>
        <w:tc>
          <w:tcPr>
            <w:tcMar>
              <w:top w:type="dxa" w:w="60"/>
              <w:left w:type="dxa" w:w="100"/>
              <w:bottom w:type="dxa" w:w="60"/>
              <w:right w:type="dxa" w:w="100"/>
            </w:tcMar>
          </w:tcPr>
          <w:p>
            <w:r>
              <w:rPr>
                <w:b w:val="false"/>
                <w:bCs w:val="false"/>
                <w:sz w:val="20"/>
                <w:szCs w:val="20"/>
              </w:rPr>
              <w:t xml:space="preserve">8 von 12 Monaten</w:t>
            </w:r>
          </w:p>
        </w:tc>
        <w:tc>
          <w:tcPr>
            <w:tcMar>
              <w:top w:type="dxa" w:w="60"/>
              <w:left w:type="dxa" w:w="100"/>
              <w:bottom w:type="dxa" w:w="60"/>
              <w:right w:type="dxa" w:w="100"/>
            </w:tcMar>
          </w:tcPr>
          <w:p>
            <w:r>
              <w:rPr>
                <w:b w:val="false"/>
                <w:bCs w:val="false"/>
                <w:sz w:val="20"/>
                <w:szCs w:val="20"/>
              </w:rPr>
              <w:t xml:space="preserve">80,00 Euro</w:t>
            </w:r>
          </w:p>
        </w:tc>
      </w:tr>
      <w:tr>
        <w:tc>
          <w:tcPr>
            <w:tcMar>
              <w:top w:type="dxa" w:w="60"/>
              <w:left w:type="dxa" w:w="100"/>
              <w:bottom w:type="dxa" w:w="60"/>
              <w:right w:type="dxa" w:w="100"/>
            </w:tcMar>
          </w:tcPr>
          <w:p>
            <w:r>
              <w:rPr>
                <w:b w:val="false"/>
                <w:bCs w:val="false"/>
                <w:sz w:val="20"/>
                <w:szCs w:val="20"/>
              </w:rPr>
              <w:t xml:space="preserve">C — quartalsweise</w:t>
            </w:r>
          </w:p>
        </w:tc>
        <w:tc>
          <w:tcPr>
            <w:tcMar>
              <w:top w:type="dxa" w:w="60"/>
              <w:left w:type="dxa" w:w="100"/>
              <w:bottom w:type="dxa" w:w="60"/>
              <w:right w:type="dxa" w:w="100"/>
            </w:tcMar>
          </w:tcPr>
          <w:p>
            <w:r>
              <w:rPr>
                <w:b w:val="false"/>
                <w:bCs w:val="false"/>
                <w:sz w:val="20"/>
                <w:szCs w:val="20"/>
              </w:rPr>
              <w:t xml:space="preserve">3 von 4 Vierteljahren</w:t>
            </w:r>
          </w:p>
        </w:tc>
        <w:tc>
          <w:tcPr>
            <w:tcMar>
              <w:top w:type="dxa" w:w="60"/>
              <w:left w:type="dxa" w:w="100"/>
              <w:bottom w:type="dxa" w:w="60"/>
              <w:right w:type="dxa" w:w="100"/>
            </w:tcMar>
          </w:tcPr>
          <w:p>
            <w:r>
              <w:rPr>
                <w:b w:val="false"/>
                <w:bCs w:val="false"/>
                <w:sz w:val="20"/>
                <w:szCs w:val="20"/>
              </w:rPr>
              <w:t xml:space="preserve">90,00 Euro</w:t>
            </w:r>
          </w:p>
        </w:tc>
      </w:tr>
    </w:tbl>
    <w:p>
      <w:pPr>
        <w:spacing w:after="120"/>
      </w:pPr>
    </w:p>
    <w:p>
      <w:pPr>
        <w:spacing w:after="140" w:before="0"/>
      </w:pPr>
      <w:r>
        <w:t xml:space="preserve">Jahresbeitrag 120,00 Euro, Austritt zum 31. Juli: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Mar>
              <w:top w:type="dxa" w:w="60"/>
              <w:left w:type="dxa" w:w="100"/>
              <w:bottom w:type="dxa" w:w="60"/>
              <w:right w:type="dxa" w:w="100"/>
            </w:tcMar>
          </w:tcPr>
          <w:p>
            <w:r>
              <w:rPr>
                <w:b/>
                <w:bCs/>
                <w:sz w:val="20"/>
                <w:szCs w:val="20"/>
              </w:rPr>
              <w:t xml:space="preserve">Variante</w:t>
            </w:r>
          </w:p>
        </w:tc>
        <w:tc>
          <w:tcPr>
            <w:tcMar>
              <w:top w:type="dxa" w:w="60"/>
              <w:left w:type="dxa" w:w="100"/>
              <w:bottom w:type="dxa" w:w="60"/>
              <w:right w:type="dxa" w:w="100"/>
            </w:tcMar>
          </w:tcPr>
          <w:p>
            <w:r>
              <w:rPr>
                <w:b/>
                <w:bCs/>
                <w:sz w:val="20"/>
                <w:szCs w:val="20"/>
              </w:rPr>
              <w:t xml:space="preserve">Berechnung</w:t>
            </w:r>
          </w:p>
        </w:tc>
        <w:tc>
          <w:tcPr>
            <w:tcMar>
              <w:top w:type="dxa" w:w="60"/>
              <w:left w:type="dxa" w:w="100"/>
              <w:bottom w:type="dxa" w:w="60"/>
              <w:right w:type="dxa" w:w="100"/>
            </w:tcMar>
          </w:tcPr>
          <w:p>
            <w:r>
              <w:rPr>
                <w:b/>
                <w:bCs/>
                <w:sz w:val="20"/>
                <w:szCs w:val="20"/>
              </w:rPr>
              <w:t xml:space="preserve">Betrag</w:t>
            </w:r>
          </w:p>
        </w:tc>
      </w:tr>
      <w:tr>
        <w:tc>
          <w:tcPr>
            <w:tcMar>
              <w:top w:type="dxa" w:w="60"/>
              <w:left w:type="dxa" w:w="100"/>
              <w:bottom w:type="dxa" w:w="60"/>
              <w:right w:type="dxa" w:w="100"/>
            </w:tcMar>
          </w:tcPr>
          <w:p>
            <w:r>
              <w:rPr>
                <w:b w:val="false"/>
                <w:bCs w:val="false"/>
                <w:sz w:val="20"/>
                <w:szCs w:val="20"/>
              </w:rPr>
              <w:t xml:space="preserve">A — voller Beitrag</w:t>
            </w:r>
          </w:p>
        </w:tc>
        <w:tc>
          <w:tcPr>
            <w:tcMar>
              <w:top w:type="dxa" w:w="60"/>
              <w:left w:type="dxa" w:w="100"/>
              <w:bottom w:type="dxa" w:w="60"/>
              <w:right w:type="dxa" w:w="100"/>
            </w:tcMar>
          </w:tcPr>
          <w:p>
            <w:r>
              <w:rPr>
                <w:b w:val="false"/>
                <w:bCs w:val="false"/>
                <w:sz w:val="20"/>
                <w:szCs w:val="20"/>
              </w:rPr>
              <w:t xml:space="preserve">—</w:t>
            </w:r>
          </w:p>
        </w:tc>
        <w:tc>
          <w:tcPr>
            <w:tcMar>
              <w:top w:type="dxa" w:w="60"/>
              <w:left w:type="dxa" w:w="100"/>
              <w:bottom w:type="dxa" w:w="60"/>
              <w:right w:type="dxa" w:w="100"/>
            </w:tcMar>
          </w:tcPr>
          <w:p>
            <w:r>
              <w:rPr>
                <w:b w:val="false"/>
                <w:bCs w:val="false"/>
                <w:sz w:val="20"/>
                <w:szCs w:val="20"/>
              </w:rPr>
              <w:t xml:space="preserve">120,00 Euro</w:t>
            </w:r>
          </w:p>
        </w:tc>
      </w:tr>
      <w:tr>
        <w:tc>
          <w:tcPr>
            <w:tcMar>
              <w:top w:type="dxa" w:w="60"/>
              <w:left w:type="dxa" w:w="100"/>
              <w:bottom w:type="dxa" w:w="60"/>
              <w:right w:type="dxa" w:w="100"/>
            </w:tcMar>
          </w:tcPr>
          <w:p>
            <w:r>
              <w:rPr>
                <w:b w:val="false"/>
                <w:bCs w:val="false"/>
                <w:sz w:val="20"/>
                <w:szCs w:val="20"/>
              </w:rPr>
              <w:t xml:space="preserve">B — monatsgenau</w:t>
            </w:r>
          </w:p>
        </w:tc>
        <w:tc>
          <w:tcPr>
            <w:tcMar>
              <w:top w:type="dxa" w:w="60"/>
              <w:left w:type="dxa" w:w="100"/>
              <w:bottom w:type="dxa" w:w="60"/>
              <w:right w:type="dxa" w:w="100"/>
            </w:tcMar>
          </w:tcPr>
          <w:p>
            <w:r>
              <w:rPr>
                <w:b w:val="false"/>
                <w:bCs w:val="false"/>
                <w:sz w:val="20"/>
                <w:szCs w:val="20"/>
              </w:rPr>
              <w:t xml:space="preserve">7 von 12 Monaten</w:t>
            </w:r>
          </w:p>
        </w:tc>
        <w:tc>
          <w:tcPr>
            <w:tcMar>
              <w:top w:type="dxa" w:w="60"/>
              <w:left w:type="dxa" w:w="100"/>
              <w:bottom w:type="dxa" w:w="60"/>
              <w:right w:type="dxa" w:w="100"/>
            </w:tcMar>
          </w:tcPr>
          <w:p>
            <w:r>
              <w:rPr>
                <w:b w:val="false"/>
                <w:bCs w:val="false"/>
                <w:sz w:val="20"/>
                <w:szCs w:val="20"/>
              </w:rPr>
              <w:t xml:space="preserve">70,00 Euro</w:t>
            </w:r>
          </w:p>
        </w:tc>
      </w:tr>
      <w:tr>
        <w:tc>
          <w:tcPr>
            <w:tcMar>
              <w:top w:type="dxa" w:w="60"/>
              <w:left w:type="dxa" w:w="100"/>
              <w:bottom w:type="dxa" w:w="60"/>
              <w:right w:type="dxa" w:w="100"/>
            </w:tcMar>
          </w:tcPr>
          <w:p>
            <w:r>
              <w:rPr>
                <w:b w:val="false"/>
                <w:bCs w:val="false"/>
                <w:sz w:val="20"/>
                <w:szCs w:val="20"/>
              </w:rPr>
              <w:t xml:space="preserve">C — quartalsweise</w:t>
            </w:r>
          </w:p>
        </w:tc>
        <w:tc>
          <w:tcPr>
            <w:tcMar>
              <w:top w:type="dxa" w:w="60"/>
              <w:left w:type="dxa" w:w="100"/>
              <w:bottom w:type="dxa" w:w="60"/>
              <w:right w:type="dxa" w:w="100"/>
            </w:tcMar>
          </w:tcPr>
          <w:p>
            <w:r>
              <w:rPr>
                <w:b w:val="false"/>
                <w:bCs w:val="false"/>
                <w:sz w:val="20"/>
                <w:szCs w:val="20"/>
              </w:rPr>
              <w:t xml:space="preserve">3 von 4 Vierteljahren</w:t>
            </w:r>
          </w:p>
        </w:tc>
        <w:tc>
          <w:tcPr>
            <w:tcMar>
              <w:top w:type="dxa" w:w="60"/>
              <w:left w:type="dxa" w:w="100"/>
              <w:bottom w:type="dxa" w:w="60"/>
              <w:right w:type="dxa" w:w="100"/>
            </w:tcMar>
          </w:tcPr>
          <w:p>
            <w:r>
              <w:rPr>
                <w:b w:val="false"/>
                <w:bCs w:val="false"/>
                <w:sz w:val="20"/>
                <w:szCs w:val="20"/>
              </w:rPr>
              <w:t xml:space="preserve">90,00 Euro</w:t>
            </w:r>
          </w:p>
        </w:tc>
      </w:tr>
    </w:tbl>
    <w:p>
      <w:pPr>
        <w:spacing w:after="120"/>
      </w:pPr>
    </w:p>
    <w:p>
      <w:pPr>
        <w:spacing w:after="140" w:before="0"/>
      </w:pPr>
      <w:r>
        <w:rPr>
          <w:b/>
          <w:bCs/>
          <w:i/>
          <w:iCs/>
          <w:color w:val="595959"/>
          <w:sz w:val="18"/>
          <w:szCs w:val="18"/>
        </w:rPr>
        <w:t xml:space="preserve">Hinweis zur Verwendung:</w:t>
      </w:r>
      <w:r>
        <w:rPr>
          <w:i/>
          <w:iCs/>
          <w:color w:val="595959"/>
          <w:sz w:val="18"/>
          <w:szCs w:val="18"/>
        </w:rPr>
        <w:t xml:space="preserve"> Empfohlener Verwendungszweck bei anteiliger Abbuchung — „Beitrag [Jahr] anteilig [Einheiten]/[Gesamt] ab [TT.MM.JJJJ]“.</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Muster-Vorlage von Bundaris · bundaris.de/ratgeber — Formulierungshilfe, keine Rechtsberatung.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Beitragsordnung — Muster-Formulierungen zur anteiligen Beitragsberechnung bei unterjährigem Ein- und Austritt</dc:title>
  <dc:creator>Bundaris</dc:creator>
  <dc:description>Muster-Vorlage aus dem Bundaris-Ratgeber. Formulierungshilfe, keine Rechtsberatung.</dc:description>
  <cp:lastModifiedBy>Un-named</cp:lastModifiedBy>
  <cp:revision>1</cp:revision>
  <dcterms:created xsi:type="dcterms:W3CDTF">2026-08-09T11:09:58.856Z</dcterms:created>
  <dcterms:modified xsi:type="dcterms:W3CDTF">2026-08-09T11:09:58.858Z</dcterms:modified>
</cp:coreProperties>
</file>

<file path=docProps/custom.xml><?xml version="1.0" encoding="utf-8"?>
<Properties xmlns="http://schemas.openxmlformats.org/officeDocument/2006/custom-properties" xmlns:vt="http://schemas.openxmlformats.org/officeDocument/2006/docPropsVTypes"/>
</file>